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BE793" w14:textId="77777777" w:rsidR="004F7F92" w:rsidRDefault="004F7F92">
      <w:pPr>
        <w:jc w:val="center"/>
        <w:rPr>
          <w:b/>
          <w:color w:val="1F4E78"/>
          <w:sz w:val="44"/>
        </w:rPr>
      </w:pPr>
    </w:p>
    <w:p w14:paraId="245E3D9A" w14:textId="60745D4B" w:rsidR="004E7D77" w:rsidRDefault="004F4042">
      <w:pPr>
        <w:jc w:val="center"/>
      </w:pPr>
      <w:r>
        <w:rPr>
          <w:b/>
          <w:color w:val="1F4E78"/>
          <w:sz w:val="44"/>
        </w:rPr>
        <w:t>TERMS OF REFERENCE</w:t>
      </w:r>
    </w:p>
    <w:p w14:paraId="4E6E08D9" w14:textId="77777777" w:rsidR="004E7D77" w:rsidRDefault="004F4042">
      <w:pPr>
        <w:jc w:val="center"/>
      </w:pPr>
      <w:r>
        <w:rPr>
          <w:b/>
          <w:sz w:val="30"/>
        </w:rPr>
        <w:t>Owner’s Technical Assistant (OTA)</w:t>
      </w:r>
      <w:r>
        <w:rPr>
          <w:b/>
          <w:sz w:val="30"/>
        </w:rPr>
        <w:br/>
        <w:t>for the Battery Energy Storage System Replacement and Solar PV Augmentation Project</w:t>
      </w:r>
    </w:p>
    <w:p w14:paraId="6E565DBF" w14:textId="77777777" w:rsidR="004E7D77" w:rsidRDefault="004F4042">
      <w:pPr>
        <w:jc w:val="center"/>
      </w:pPr>
      <w:r>
        <w:rPr>
          <w:i/>
        </w:rPr>
        <w:t>Rwanda Institute for Conservation Agriculture (RICA)</w:t>
      </w:r>
    </w:p>
    <w:tbl>
      <w:tblPr>
        <w:tblStyle w:val="TableGrid"/>
        <w:tblW w:w="0" w:type="auto"/>
        <w:jc w:val="center"/>
        <w:tblLook w:val="04A0" w:firstRow="1" w:lastRow="0" w:firstColumn="1" w:lastColumn="0" w:noHBand="0" w:noVBand="1"/>
      </w:tblPr>
      <w:tblGrid>
        <w:gridCol w:w="3111"/>
        <w:gridCol w:w="6737"/>
      </w:tblGrid>
      <w:tr w:rsidR="004E7D77" w14:paraId="2CAD3B28" w14:textId="77777777" w:rsidTr="003123CD">
        <w:trPr>
          <w:jc w:val="center"/>
        </w:trPr>
        <w:tc>
          <w:tcPr>
            <w:tcW w:w="3111" w:type="dxa"/>
            <w:shd w:val="clear" w:color="auto" w:fill="D9EAF7"/>
            <w:tcMar>
              <w:top w:w="90" w:type="dxa"/>
              <w:left w:w="100" w:type="dxa"/>
              <w:bottom w:w="90" w:type="dxa"/>
              <w:right w:w="100" w:type="dxa"/>
            </w:tcMar>
            <w:vAlign w:val="center"/>
          </w:tcPr>
          <w:p w14:paraId="02575E54" w14:textId="77777777" w:rsidR="004E7D77" w:rsidRDefault="004F4042">
            <w:r>
              <w:rPr>
                <w:b/>
              </w:rPr>
              <w:t>Client</w:t>
            </w:r>
          </w:p>
        </w:tc>
        <w:tc>
          <w:tcPr>
            <w:tcW w:w="6737" w:type="dxa"/>
            <w:tcMar>
              <w:top w:w="90" w:type="dxa"/>
              <w:left w:w="100" w:type="dxa"/>
              <w:bottom w:w="90" w:type="dxa"/>
              <w:right w:w="100" w:type="dxa"/>
            </w:tcMar>
            <w:vAlign w:val="center"/>
          </w:tcPr>
          <w:p w14:paraId="6CCA6C64" w14:textId="77777777" w:rsidR="004E7D77" w:rsidRDefault="004F4042">
            <w:r>
              <w:t>Rwanda Institute for Conservation Agriculture (RICA)</w:t>
            </w:r>
          </w:p>
        </w:tc>
      </w:tr>
      <w:tr w:rsidR="004E7D77" w14:paraId="21F7F3AE" w14:textId="77777777" w:rsidTr="003123CD">
        <w:trPr>
          <w:jc w:val="center"/>
        </w:trPr>
        <w:tc>
          <w:tcPr>
            <w:tcW w:w="3111" w:type="dxa"/>
            <w:shd w:val="clear" w:color="auto" w:fill="D9EAF7"/>
            <w:tcMar>
              <w:top w:w="90" w:type="dxa"/>
              <w:left w:w="100" w:type="dxa"/>
              <w:bottom w:w="90" w:type="dxa"/>
              <w:right w:w="100" w:type="dxa"/>
            </w:tcMar>
            <w:vAlign w:val="center"/>
          </w:tcPr>
          <w:p w14:paraId="0CC33DA2" w14:textId="77777777" w:rsidR="004E7D77" w:rsidRDefault="004F4042">
            <w:r>
              <w:rPr>
                <w:b/>
              </w:rPr>
              <w:t>Project Location</w:t>
            </w:r>
          </w:p>
        </w:tc>
        <w:tc>
          <w:tcPr>
            <w:tcW w:w="6737" w:type="dxa"/>
            <w:tcMar>
              <w:top w:w="90" w:type="dxa"/>
              <w:left w:w="100" w:type="dxa"/>
              <w:bottom w:w="90" w:type="dxa"/>
              <w:right w:w="100" w:type="dxa"/>
            </w:tcMar>
            <w:vAlign w:val="center"/>
          </w:tcPr>
          <w:p w14:paraId="392029FF" w14:textId="1CA58A8A" w:rsidR="004E7D77" w:rsidRDefault="004F4042">
            <w:r>
              <w:t xml:space="preserve">RICA Campus, </w:t>
            </w:r>
            <w:proofErr w:type="spellStart"/>
            <w:r w:rsidR="00FD3B83">
              <w:t>Gashora</w:t>
            </w:r>
            <w:proofErr w:type="spellEnd"/>
            <w:r>
              <w:t xml:space="preserve"> Sector, </w:t>
            </w:r>
            <w:proofErr w:type="spellStart"/>
            <w:r>
              <w:t>Bugesera</w:t>
            </w:r>
            <w:proofErr w:type="spellEnd"/>
            <w:r>
              <w:t xml:space="preserve"> District, Eastern Province, Rwanda</w:t>
            </w:r>
          </w:p>
        </w:tc>
      </w:tr>
      <w:tr w:rsidR="004E7D77" w14:paraId="7432D21D" w14:textId="77777777" w:rsidTr="003123CD">
        <w:trPr>
          <w:jc w:val="center"/>
        </w:trPr>
        <w:tc>
          <w:tcPr>
            <w:tcW w:w="3111" w:type="dxa"/>
            <w:shd w:val="clear" w:color="auto" w:fill="D9EAF7"/>
            <w:tcMar>
              <w:top w:w="90" w:type="dxa"/>
              <w:left w:w="100" w:type="dxa"/>
              <w:bottom w:w="90" w:type="dxa"/>
              <w:right w:w="100" w:type="dxa"/>
            </w:tcMar>
            <w:vAlign w:val="center"/>
          </w:tcPr>
          <w:p w14:paraId="404C1E19" w14:textId="77777777" w:rsidR="004E7D77" w:rsidRDefault="004F4042">
            <w:r>
              <w:rPr>
                <w:b/>
              </w:rPr>
              <w:t>Procurement Package</w:t>
            </w:r>
          </w:p>
        </w:tc>
        <w:tc>
          <w:tcPr>
            <w:tcW w:w="6737" w:type="dxa"/>
            <w:tcMar>
              <w:top w:w="90" w:type="dxa"/>
              <w:left w:w="100" w:type="dxa"/>
              <w:bottom w:w="90" w:type="dxa"/>
              <w:right w:w="100" w:type="dxa"/>
            </w:tcMar>
            <w:vAlign w:val="center"/>
          </w:tcPr>
          <w:p w14:paraId="432B6E49" w14:textId="77777777" w:rsidR="004E7D77" w:rsidRDefault="004F4042">
            <w:r>
              <w:t>Consultancy Services for Owner’s Technical Assistance</w:t>
            </w:r>
          </w:p>
        </w:tc>
      </w:tr>
    </w:tbl>
    <w:p w14:paraId="53D62A4C" w14:textId="77777777" w:rsidR="004E7D77" w:rsidRDefault="004E7D77"/>
    <w:p w14:paraId="5A219AF2" w14:textId="1328956E" w:rsidR="004E7D77" w:rsidRDefault="004F4042" w:rsidP="0C0FA435">
      <w:pPr>
        <w:jc w:val="center"/>
      </w:pPr>
      <w:proofErr w:type="gramStart"/>
      <w:r>
        <w:t>This</w:t>
      </w:r>
      <w:proofErr w:type="gramEnd"/>
      <w:r>
        <w:t xml:space="preserve"> Terms of Reference defines the scope, deliverables, qualifications, and commercial framework for engaging an Owner’s Technical Assistant to represent RICA throughout procurement, design review, implementation oversight, testing, commissioning, and handover of the BESS replacement </w:t>
      </w:r>
      <w:r w:rsidR="2415497E" w:rsidRPr="69BB15C8">
        <w:rPr>
          <w:rFonts w:asciiTheme="majorHAnsi" w:eastAsiaTheme="majorEastAsia" w:hAnsiTheme="majorHAnsi" w:cstheme="majorBidi"/>
        </w:rPr>
        <w:t>an</w:t>
      </w:r>
      <w:r w:rsidR="2415497E" w:rsidRPr="69BB15C8">
        <w:rPr>
          <w:rFonts w:asciiTheme="majorHAnsi" w:eastAsiaTheme="majorEastAsia" w:hAnsiTheme="majorHAnsi" w:cstheme="majorBidi"/>
          <w:sz w:val="20"/>
          <w:szCs w:val="20"/>
        </w:rPr>
        <w:t xml:space="preserve">d </w:t>
      </w:r>
      <w:r w:rsidR="2415497E" w:rsidRPr="69BB15C8">
        <w:rPr>
          <w:rFonts w:asciiTheme="majorHAnsi" w:eastAsiaTheme="majorEastAsia" w:hAnsiTheme="majorHAnsi" w:cstheme="majorBidi"/>
          <w:color w:val="242424"/>
          <w:sz w:val="20"/>
          <w:szCs w:val="20"/>
        </w:rPr>
        <w:t xml:space="preserve">Solar PV Augmentation </w:t>
      </w:r>
      <w:r>
        <w:t>project.</w:t>
      </w:r>
    </w:p>
    <w:p w14:paraId="564220FC" w14:textId="77777777" w:rsidR="004E7D77" w:rsidRDefault="004F4042">
      <w:r>
        <w:br w:type="page"/>
      </w:r>
    </w:p>
    <w:p w14:paraId="41F8530A" w14:textId="508537DD" w:rsidR="004E7D77" w:rsidRDefault="004F4042" w:rsidP="00502BC3">
      <w:pPr>
        <w:pStyle w:val="Heading1"/>
        <w:numPr>
          <w:ilvl w:val="0"/>
          <w:numId w:val="10"/>
        </w:numPr>
      </w:pPr>
      <w:r>
        <w:lastRenderedPageBreak/>
        <w:t>Background and Context</w:t>
      </w:r>
    </w:p>
    <w:p w14:paraId="46C00B7B" w14:textId="77777777" w:rsidR="00502BC3" w:rsidRPr="00502BC3" w:rsidRDefault="00502BC3" w:rsidP="00502BC3"/>
    <w:p w14:paraId="6E968B42" w14:textId="77777777" w:rsidR="004E7D77" w:rsidRDefault="004F4042">
      <w:pPr>
        <w:spacing w:after="120"/>
      </w:pPr>
      <w:r>
        <w:t>RICA operates an off-grid campus power system comprising utility-scale solar PV, battery energy storage, medium-voltage distribution infrastructure, and diesel generator backup. The existing system supports critical campus operations and must continue to deliver stable, safe, and reliable power throughout the planned upgrade works.</w:t>
      </w:r>
    </w:p>
    <w:p w14:paraId="20696102" w14:textId="77777777" w:rsidR="004E7D77" w:rsidRDefault="004F4042">
      <w:pPr>
        <w:spacing w:after="120"/>
      </w:pPr>
      <w:r>
        <w:t xml:space="preserve">RICA is undertaking a battery system replacement and augmentation project that is expected to include replacement and expansion of the Battery Energy Storage System (BESS) to an overall capacity in the range of approximately 3–4 MWh, integration of associated power conversion equipment, controls, protections, and connection to the existing 15 kV microgrid. The project concept also provides for additional solar PV capacity to support </w:t>
      </w:r>
      <w:proofErr w:type="gramStart"/>
      <w:r>
        <w:t>charging of</w:t>
      </w:r>
      <w:proofErr w:type="gramEnd"/>
      <w:r>
        <w:t xml:space="preserve"> the new BESS and improve renewable penetration.</w:t>
      </w:r>
    </w:p>
    <w:p w14:paraId="05BB5149" w14:textId="77777777" w:rsidR="004E7D77" w:rsidRDefault="004F4042">
      <w:pPr>
        <w:spacing w:after="120"/>
      </w:pPr>
      <w:r>
        <w:t>Given the technical complexity of integrating new equipment with an operating legacy microgrid, RICA requires an independent consultant to act as Owner’s Technical Assistant (OTA). The OTA shall protect RICA’s technical, operational, safety, commercial, and quality interests during the entire project lifecycle.</w:t>
      </w:r>
    </w:p>
    <w:p w14:paraId="7E2A22E6" w14:textId="0F83C60E" w:rsidR="004E7D77" w:rsidRDefault="004F4042" w:rsidP="00502BC3">
      <w:pPr>
        <w:pStyle w:val="Heading1"/>
        <w:numPr>
          <w:ilvl w:val="0"/>
          <w:numId w:val="10"/>
        </w:numPr>
      </w:pPr>
      <w:r>
        <w:t>Purpose of the Assignment</w:t>
      </w:r>
    </w:p>
    <w:p w14:paraId="12B39C67" w14:textId="77777777" w:rsidR="00502BC3" w:rsidRPr="00502BC3" w:rsidRDefault="00502BC3" w:rsidP="00502BC3">
      <w:pPr>
        <w:pStyle w:val="ListParagraph"/>
      </w:pPr>
    </w:p>
    <w:p w14:paraId="3189D967" w14:textId="77777777" w:rsidR="004E7D77" w:rsidRDefault="004F4042">
      <w:pPr>
        <w:spacing w:after="60"/>
      </w:pPr>
      <w:r>
        <w:t>The OTA shall serve as RICA’s independent technical representative and advisor for the BESS replacement project. The consultant shall:</w:t>
      </w:r>
    </w:p>
    <w:p w14:paraId="10660409" w14:textId="163696BB" w:rsidR="004E7D77" w:rsidRDefault="004029BC" w:rsidP="00E71C43">
      <w:pPr>
        <w:pStyle w:val="ListBullet"/>
        <w:numPr>
          <w:ilvl w:val="0"/>
          <w:numId w:val="12"/>
        </w:numPr>
        <w:spacing w:after="40"/>
      </w:pPr>
      <w:r>
        <w:t>R</w:t>
      </w:r>
      <w:r w:rsidR="004F4042">
        <w:t xml:space="preserve">eview and strengthen the Request for Quotation (RFQ) / solicitation package before issue to invited </w:t>
      </w:r>
      <w:r w:rsidR="00E71C43">
        <w:t>bidders.</w:t>
      </w:r>
    </w:p>
    <w:p w14:paraId="34B588EA" w14:textId="54ADA3A2" w:rsidR="004E7D77" w:rsidRDefault="004029BC" w:rsidP="00E71C43">
      <w:pPr>
        <w:pStyle w:val="ListBullet"/>
        <w:numPr>
          <w:ilvl w:val="0"/>
          <w:numId w:val="12"/>
        </w:numPr>
        <w:spacing w:after="40"/>
      </w:pPr>
      <w:r>
        <w:t>S</w:t>
      </w:r>
      <w:r w:rsidR="004F4042">
        <w:t xml:space="preserve">upport technical clarification and, where requested by RICA, participate in technical evaluation of </w:t>
      </w:r>
      <w:r w:rsidR="00E71C43">
        <w:t>offers.</w:t>
      </w:r>
    </w:p>
    <w:p w14:paraId="335242F7" w14:textId="191B1F79" w:rsidR="004E7D77" w:rsidRDefault="1B1231B1" w:rsidP="0C0FA435">
      <w:pPr>
        <w:pStyle w:val="ListBullet"/>
        <w:spacing w:after="40"/>
      </w:pPr>
      <w:r>
        <w:t>R</w:t>
      </w:r>
      <w:r w:rsidR="004F4042">
        <w:t xml:space="preserve">eview and comment on the selected contractor’s </w:t>
      </w:r>
      <w:r w:rsidR="23354676">
        <w:t xml:space="preserve">relevant expertise &amp; capability, </w:t>
      </w:r>
      <w:r w:rsidR="004F4042">
        <w:t xml:space="preserve">design submissions, integration philosophy, method statements, work plans, and quality </w:t>
      </w:r>
      <w:r w:rsidR="3C65E2E2">
        <w:t>documentation.</w:t>
      </w:r>
    </w:p>
    <w:p w14:paraId="75DFBBEB" w14:textId="4B45D06F" w:rsidR="004E7D77" w:rsidRDefault="004029BC" w:rsidP="00E71C43">
      <w:pPr>
        <w:pStyle w:val="ListBullet"/>
        <w:numPr>
          <w:ilvl w:val="0"/>
          <w:numId w:val="12"/>
        </w:numPr>
        <w:spacing w:after="40"/>
      </w:pPr>
      <w:r>
        <w:t>M</w:t>
      </w:r>
      <w:r w:rsidR="004F4042">
        <w:t>onitor implementation, testing, commissioning, and handover to ensure the project is delivered safely, on time, to specification, and without avoidable risk to the existing system, campus operations, or legacy warranties.</w:t>
      </w:r>
    </w:p>
    <w:p w14:paraId="23391D6F" w14:textId="2AA87B7F" w:rsidR="004E7D77" w:rsidRDefault="004F4042" w:rsidP="00502BC3">
      <w:pPr>
        <w:pStyle w:val="Heading1"/>
        <w:numPr>
          <w:ilvl w:val="0"/>
          <w:numId w:val="10"/>
        </w:numPr>
      </w:pPr>
      <w:r>
        <w:t>Assignment Objectives</w:t>
      </w:r>
    </w:p>
    <w:p w14:paraId="1AAE4562" w14:textId="77777777" w:rsidR="00502BC3" w:rsidRPr="00502BC3" w:rsidRDefault="00502BC3" w:rsidP="00502BC3">
      <w:pPr>
        <w:pStyle w:val="ListParagraph"/>
      </w:pPr>
    </w:p>
    <w:p w14:paraId="612AF6ED" w14:textId="77777777" w:rsidR="004E7D77" w:rsidRDefault="004F4042" w:rsidP="00E71C43">
      <w:pPr>
        <w:pStyle w:val="ListBullet"/>
        <w:numPr>
          <w:ilvl w:val="0"/>
          <w:numId w:val="13"/>
        </w:numPr>
        <w:spacing w:after="40"/>
      </w:pPr>
      <w:r>
        <w:t>Ensure that the technical requirements in the RFQ are complete, bankable, measurable, and aligned with RICA’s operational needs.</w:t>
      </w:r>
    </w:p>
    <w:p w14:paraId="484FC680" w14:textId="611FA9C8" w:rsidR="004E7D77" w:rsidRDefault="004F4042" w:rsidP="0C0FA435">
      <w:pPr>
        <w:pStyle w:val="ListBullet"/>
        <w:spacing w:after="40"/>
      </w:pPr>
      <w:r>
        <w:t>Verify that the proposed upgrade solution is fully compatible with the existing PV, BESS, diesel generation, medium-voltage distribution, SCADA, and</w:t>
      </w:r>
      <w:r w:rsidR="000E0923">
        <w:t xml:space="preserve"> provide complete scalability of future energy management system.</w:t>
      </w:r>
    </w:p>
    <w:p w14:paraId="377F05A0" w14:textId="77777777" w:rsidR="004E7D77" w:rsidRDefault="004F4042" w:rsidP="00E71C43">
      <w:pPr>
        <w:pStyle w:val="ListBullet"/>
        <w:numPr>
          <w:ilvl w:val="0"/>
          <w:numId w:val="13"/>
        </w:numPr>
        <w:spacing w:after="40"/>
      </w:pPr>
      <w:r>
        <w:t>Minimize integration risk, unnecessary outages, rework, and performance under-delivery during execution.</w:t>
      </w:r>
    </w:p>
    <w:p w14:paraId="1F079EE6" w14:textId="77777777" w:rsidR="004E7D77" w:rsidRDefault="004F4042" w:rsidP="00E71C43">
      <w:pPr>
        <w:pStyle w:val="ListBullet"/>
        <w:numPr>
          <w:ilvl w:val="0"/>
          <w:numId w:val="13"/>
        </w:numPr>
        <w:spacing w:after="40"/>
      </w:pPr>
      <w:r>
        <w:t>Ensure compliance with applicable IEC standards, manufacturer requirements, HSE good practice, and relevant Rwandan regulatory requirements.</w:t>
      </w:r>
    </w:p>
    <w:p w14:paraId="026793E2" w14:textId="77777777" w:rsidR="004E7D77" w:rsidRDefault="004F4042" w:rsidP="00E71C43">
      <w:pPr>
        <w:pStyle w:val="ListBullet"/>
        <w:numPr>
          <w:ilvl w:val="0"/>
          <w:numId w:val="13"/>
        </w:numPr>
        <w:spacing w:after="40"/>
      </w:pPr>
      <w:r>
        <w:lastRenderedPageBreak/>
        <w:t>Provide structured milestone-based advice to RICA for technical approvals, variation review, risk control, commissioning acceptance, and final handover.</w:t>
      </w:r>
    </w:p>
    <w:p w14:paraId="5AA0ECAA" w14:textId="00A3BA0D" w:rsidR="004E7D77" w:rsidRDefault="004F4042" w:rsidP="00502BC3">
      <w:pPr>
        <w:pStyle w:val="Heading1"/>
        <w:numPr>
          <w:ilvl w:val="0"/>
          <w:numId w:val="10"/>
        </w:numPr>
      </w:pPr>
      <w:r>
        <w:t>Scope of Services</w:t>
      </w:r>
    </w:p>
    <w:p w14:paraId="3AC708A7" w14:textId="77777777" w:rsidR="00502BC3" w:rsidRPr="00502BC3" w:rsidRDefault="00502BC3" w:rsidP="00502BC3">
      <w:pPr>
        <w:pStyle w:val="ListParagraph"/>
      </w:pPr>
    </w:p>
    <w:p w14:paraId="6AA40C00" w14:textId="77777777" w:rsidR="004E7D77" w:rsidRDefault="004F4042">
      <w:pPr>
        <w:spacing w:after="80"/>
      </w:pPr>
      <w:r>
        <w:t>The OTA’s services shall cover the full project cycle and shall include, at minimum, the following phases and activities.</w:t>
      </w:r>
    </w:p>
    <w:p w14:paraId="326D4F77" w14:textId="4B03C3D0" w:rsidR="004E7D77" w:rsidRDefault="004F4042" w:rsidP="00502BC3">
      <w:pPr>
        <w:pStyle w:val="Heading2"/>
        <w:numPr>
          <w:ilvl w:val="1"/>
          <w:numId w:val="10"/>
        </w:numPr>
      </w:pPr>
      <w:r>
        <w:t>Phase 1 – Inception, Existing System Audit, and RFQ Review</w:t>
      </w:r>
    </w:p>
    <w:p w14:paraId="37156656" w14:textId="77777777" w:rsidR="00502BC3" w:rsidRPr="00502BC3" w:rsidRDefault="00502BC3" w:rsidP="00502BC3">
      <w:pPr>
        <w:pStyle w:val="ListParagraph"/>
      </w:pPr>
    </w:p>
    <w:p w14:paraId="268E5E8D" w14:textId="77777777" w:rsidR="004E7D77" w:rsidRDefault="004F4042" w:rsidP="00717DC2">
      <w:pPr>
        <w:pStyle w:val="ListBullet"/>
        <w:numPr>
          <w:ilvl w:val="0"/>
          <w:numId w:val="14"/>
        </w:numPr>
        <w:spacing w:after="40"/>
      </w:pPr>
      <w:r>
        <w:t>Hold a kick-off meeting with RICA to confirm project objectives, reporting lines, communication protocol, deliverables, and schedule.</w:t>
      </w:r>
    </w:p>
    <w:p w14:paraId="3ECE044A" w14:textId="77777777" w:rsidR="004E7D77" w:rsidRDefault="004F4042" w:rsidP="00717DC2">
      <w:pPr>
        <w:pStyle w:val="ListBullet"/>
        <w:numPr>
          <w:ilvl w:val="0"/>
          <w:numId w:val="14"/>
        </w:numPr>
        <w:spacing w:after="40"/>
      </w:pPr>
      <w:r>
        <w:t>Undertake a baseline review and technical audit of the existing power system, including existing PV arrays, inverters, battery system, PCS interfaces, transformers, switchgear, protection, communication systems, and operating philosophy.</w:t>
      </w:r>
    </w:p>
    <w:p w14:paraId="00876626" w14:textId="77777777" w:rsidR="004E7D77" w:rsidRDefault="004F4042" w:rsidP="00717DC2">
      <w:pPr>
        <w:pStyle w:val="ListBullet"/>
        <w:numPr>
          <w:ilvl w:val="0"/>
          <w:numId w:val="14"/>
        </w:numPr>
        <w:spacing w:after="40"/>
      </w:pPr>
      <w:r>
        <w:t>Identify any pre-existing defects, safety concerns, performance constraints, latent integration risks, and likely outage limitations that may affect the project.</w:t>
      </w:r>
    </w:p>
    <w:p w14:paraId="65667C6B" w14:textId="77777777" w:rsidR="004E7D77" w:rsidRDefault="004F4042" w:rsidP="00717DC2">
      <w:pPr>
        <w:pStyle w:val="ListBullet"/>
        <w:numPr>
          <w:ilvl w:val="0"/>
          <w:numId w:val="14"/>
        </w:numPr>
        <w:spacing w:after="40"/>
      </w:pPr>
      <w:r>
        <w:t>Review the draft RFQ / technical specifications / employer’s requirements and recommend revisions to scope, technical criteria, testing requirements, documentation requirements, acceptance criteria, and commercial milestones.</w:t>
      </w:r>
    </w:p>
    <w:p w14:paraId="27C0130E" w14:textId="77777777" w:rsidR="004E7D77" w:rsidRDefault="004F4042" w:rsidP="00717DC2">
      <w:pPr>
        <w:pStyle w:val="ListBullet"/>
        <w:numPr>
          <w:ilvl w:val="0"/>
          <w:numId w:val="14"/>
        </w:numPr>
        <w:spacing w:after="40"/>
      </w:pPr>
      <w:r>
        <w:t>Advise RICA on bidder qualification requirements, critical technical schedules, data sheets, spare parts requirements, and minimum warranty provisions to be included in the solicitation package.</w:t>
      </w:r>
    </w:p>
    <w:p w14:paraId="0EA7BA89" w14:textId="77777777" w:rsidR="004E7D77" w:rsidRDefault="004F4042" w:rsidP="0C0FA435">
      <w:pPr>
        <w:pStyle w:val="ListBullet"/>
        <w:spacing w:after="40"/>
      </w:pPr>
      <w:r>
        <w:t>Review the draft technical evaluation methodology and recommend objective, auditable evaluation criteria and pass/fail requirements.</w:t>
      </w:r>
    </w:p>
    <w:p w14:paraId="367B4109" w14:textId="77D984F4" w:rsidR="3192942D" w:rsidRPr="008D1080" w:rsidRDefault="5265637A" w:rsidP="0C0FA435">
      <w:pPr>
        <w:pStyle w:val="ListBullet"/>
        <w:spacing w:after="40"/>
      </w:pPr>
      <w:r>
        <w:t>Advise RICA on the best, reliable and compatible products to be integrated with our system</w:t>
      </w:r>
      <w:r w:rsidR="689CD5E5">
        <w:t>, and how does this need to be included in the proposed TOR?</w:t>
      </w:r>
    </w:p>
    <w:p w14:paraId="53ABC0F5" w14:textId="52958C4E" w:rsidR="004E7D77" w:rsidRDefault="004F4042" w:rsidP="00502BC3">
      <w:pPr>
        <w:pStyle w:val="Heading2"/>
        <w:numPr>
          <w:ilvl w:val="1"/>
          <w:numId w:val="10"/>
        </w:numPr>
      </w:pPr>
      <w:r>
        <w:t>Phase 2 – Bid Clarifications and Technical Evaluation Support</w:t>
      </w:r>
    </w:p>
    <w:p w14:paraId="15C21B14" w14:textId="77777777" w:rsidR="00502BC3" w:rsidRPr="00502BC3" w:rsidRDefault="00502BC3" w:rsidP="00502BC3">
      <w:pPr>
        <w:pStyle w:val="ListParagraph"/>
      </w:pPr>
    </w:p>
    <w:p w14:paraId="7F1650C4" w14:textId="77777777" w:rsidR="004E7D77" w:rsidRDefault="004F4042" w:rsidP="00B565AE">
      <w:pPr>
        <w:pStyle w:val="ListBullet"/>
        <w:numPr>
          <w:ilvl w:val="0"/>
          <w:numId w:val="15"/>
        </w:numPr>
        <w:spacing w:after="40"/>
      </w:pPr>
      <w:r>
        <w:t>Support RICA in responding to bidder technical queries during the solicitation period.</w:t>
      </w:r>
    </w:p>
    <w:p w14:paraId="16256046" w14:textId="77777777" w:rsidR="004E7D77" w:rsidRDefault="004F4042" w:rsidP="00B565AE">
      <w:pPr>
        <w:pStyle w:val="ListBullet"/>
        <w:numPr>
          <w:ilvl w:val="0"/>
          <w:numId w:val="15"/>
        </w:numPr>
        <w:spacing w:after="40"/>
      </w:pPr>
      <w:r>
        <w:t>Review bidder technical submissions for completeness, responsiveness, deviations, assumptions, and compliance with the RFQ requirements.</w:t>
      </w:r>
    </w:p>
    <w:p w14:paraId="32EB14A7" w14:textId="77777777" w:rsidR="004E7D77" w:rsidRDefault="004F4042" w:rsidP="00B565AE">
      <w:pPr>
        <w:pStyle w:val="ListBullet"/>
        <w:numPr>
          <w:ilvl w:val="0"/>
          <w:numId w:val="15"/>
        </w:numPr>
        <w:spacing w:after="40"/>
      </w:pPr>
      <w:r>
        <w:t>Prepare a structured technical evaluation report, including comparative analysis of proposed BESS technology, PCS, EMS, transformers, controls, protection, integration philosophy, warranties, spare parts, local support capability, and implementation methodology.</w:t>
      </w:r>
    </w:p>
    <w:p w14:paraId="7F841F7C" w14:textId="77777777" w:rsidR="004E7D77" w:rsidRDefault="004F4042" w:rsidP="00B565AE">
      <w:pPr>
        <w:pStyle w:val="ListBullet"/>
        <w:numPr>
          <w:ilvl w:val="0"/>
          <w:numId w:val="15"/>
        </w:numPr>
        <w:spacing w:after="40"/>
      </w:pPr>
      <w:r>
        <w:t>Identify technical exclusions, commercial risk items driven by technical assumptions, and provisions that require clarification before award.</w:t>
      </w:r>
    </w:p>
    <w:p w14:paraId="0AB8C991" w14:textId="77777777" w:rsidR="004E7D77" w:rsidRDefault="004F4042" w:rsidP="00B565AE">
      <w:pPr>
        <w:pStyle w:val="ListBullet"/>
        <w:numPr>
          <w:ilvl w:val="0"/>
          <w:numId w:val="15"/>
        </w:numPr>
        <w:spacing w:after="40"/>
      </w:pPr>
      <w:r>
        <w:lastRenderedPageBreak/>
        <w:t>Where requested by RICA, participate in bidder clarification meetings, technical negotiations, and final technical alignment prior to contract award.</w:t>
      </w:r>
    </w:p>
    <w:p w14:paraId="6E197A58" w14:textId="6419EB93" w:rsidR="004E7D77" w:rsidRDefault="004F4042" w:rsidP="00502BC3">
      <w:pPr>
        <w:pStyle w:val="Heading2"/>
        <w:numPr>
          <w:ilvl w:val="1"/>
          <w:numId w:val="10"/>
        </w:numPr>
      </w:pPr>
      <w:r>
        <w:t>Phase 3 – Design Review and Pre-Construction Oversight</w:t>
      </w:r>
    </w:p>
    <w:p w14:paraId="3FC0D78C" w14:textId="77777777" w:rsidR="00502BC3" w:rsidRPr="00502BC3" w:rsidRDefault="00502BC3" w:rsidP="00502BC3">
      <w:pPr>
        <w:pStyle w:val="ListParagraph"/>
      </w:pPr>
    </w:p>
    <w:p w14:paraId="6277646C" w14:textId="77777777" w:rsidR="004E7D77" w:rsidRDefault="004F4042" w:rsidP="00E65E90">
      <w:pPr>
        <w:pStyle w:val="ListBullet"/>
        <w:numPr>
          <w:ilvl w:val="0"/>
          <w:numId w:val="16"/>
        </w:numPr>
        <w:spacing w:after="40"/>
      </w:pPr>
      <w:r>
        <w:t>Review and comment on the contractor’s detailed design package, including system architecture, single-line diagrams, control philosophy, communications architecture, interface matrix, protection coordination, cable sizing, earthing, container layout, HVAC / thermal management, fire detection and suppression, and civil / structural interfaces.</w:t>
      </w:r>
    </w:p>
    <w:p w14:paraId="19547727" w14:textId="77777777" w:rsidR="004E7D77" w:rsidRDefault="004F4042" w:rsidP="00E65E90">
      <w:pPr>
        <w:pStyle w:val="ListBullet"/>
        <w:numPr>
          <w:ilvl w:val="0"/>
          <w:numId w:val="16"/>
        </w:numPr>
        <w:spacing w:after="40"/>
      </w:pPr>
      <w:r>
        <w:t>Review design assumptions against the actual site conditions and the as-is status of the existing system.</w:t>
      </w:r>
    </w:p>
    <w:p w14:paraId="586BC691" w14:textId="77777777" w:rsidR="004E7D77" w:rsidRDefault="004F4042" w:rsidP="00E65E90">
      <w:pPr>
        <w:pStyle w:val="ListBullet"/>
        <w:numPr>
          <w:ilvl w:val="0"/>
          <w:numId w:val="16"/>
        </w:numPr>
        <w:spacing w:after="40"/>
      </w:pPr>
      <w:r>
        <w:t>Verify that the proposed solution preserves or clearly manages any implications on existing equipment warranties, service agreements, or operating limits.</w:t>
      </w:r>
    </w:p>
    <w:p w14:paraId="39AD99BE" w14:textId="77777777" w:rsidR="004E7D77" w:rsidRDefault="004F4042" w:rsidP="00E65E90">
      <w:pPr>
        <w:pStyle w:val="ListBullet"/>
        <w:numPr>
          <w:ilvl w:val="0"/>
          <w:numId w:val="16"/>
        </w:numPr>
        <w:spacing w:after="40"/>
      </w:pPr>
      <w:r>
        <w:t>Review the contractor’s project execution plan, procurement plan, method statements, inspection and test plans (ITPs), quality assurance / quality control plan, HSE plan, outage plan, and commissioning procedures.</w:t>
      </w:r>
    </w:p>
    <w:p w14:paraId="53EFEB88" w14:textId="77777777" w:rsidR="004E7D77" w:rsidRDefault="004F4042" w:rsidP="00E65E90">
      <w:pPr>
        <w:pStyle w:val="ListBullet"/>
        <w:numPr>
          <w:ilvl w:val="0"/>
          <w:numId w:val="16"/>
        </w:numPr>
        <w:spacing w:after="40"/>
      </w:pPr>
      <w:r>
        <w:t>Advise RICA on approval or conditional approval of design submissions and track closure of design review comments.</w:t>
      </w:r>
    </w:p>
    <w:p w14:paraId="362BB49F" w14:textId="5F32EA01" w:rsidR="004E7D77" w:rsidRDefault="004F4042" w:rsidP="00502BC3">
      <w:pPr>
        <w:pStyle w:val="Heading2"/>
        <w:numPr>
          <w:ilvl w:val="1"/>
          <w:numId w:val="10"/>
        </w:numPr>
      </w:pPr>
      <w:r>
        <w:t>Phase 4 – Procurement, Factory Oversight, and Delivery Review</w:t>
      </w:r>
    </w:p>
    <w:p w14:paraId="0494E572" w14:textId="77777777" w:rsidR="00502BC3" w:rsidRPr="00502BC3" w:rsidRDefault="00502BC3" w:rsidP="00502BC3">
      <w:pPr>
        <w:pStyle w:val="ListParagraph"/>
      </w:pPr>
    </w:p>
    <w:p w14:paraId="45BD0709" w14:textId="77777777" w:rsidR="004E7D77" w:rsidRDefault="004F4042" w:rsidP="00E65E90">
      <w:pPr>
        <w:pStyle w:val="ListBullet"/>
        <w:numPr>
          <w:ilvl w:val="0"/>
          <w:numId w:val="17"/>
        </w:numPr>
        <w:spacing w:after="40"/>
      </w:pPr>
      <w:r>
        <w:t>Review key vendor and manufacturer documents, data sheets, drawings, certifications, and test certificates for major equipment before shipment.</w:t>
      </w:r>
    </w:p>
    <w:p w14:paraId="7FC3C4D9" w14:textId="77777777" w:rsidR="004E7D77" w:rsidRDefault="004F4042" w:rsidP="00E65E90">
      <w:pPr>
        <w:pStyle w:val="ListBullet"/>
        <w:numPr>
          <w:ilvl w:val="0"/>
          <w:numId w:val="17"/>
        </w:numPr>
        <w:spacing w:after="40"/>
      </w:pPr>
      <w:r>
        <w:t>Confirm that the supplied equipment complies with the approved technical specifications, including battery technology, PCS, EMS, transformer ratings, cable specifications, communications, and protection requirements.</w:t>
      </w:r>
    </w:p>
    <w:p w14:paraId="1463BE35" w14:textId="77777777" w:rsidR="004E7D77" w:rsidRDefault="004F4042" w:rsidP="00E65E90">
      <w:pPr>
        <w:pStyle w:val="ListBullet"/>
        <w:numPr>
          <w:ilvl w:val="0"/>
          <w:numId w:val="17"/>
        </w:numPr>
        <w:spacing w:after="40"/>
      </w:pPr>
      <w:r>
        <w:t>Where feasible and where requested by RICA, witness or review factory acceptance tests (FATs) for critical equipment and provide a FAT review note or attendance report.</w:t>
      </w:r>
    </w:p>
    <w:p w14:paraId="5184B704" w14:textId="77777777" w:rsidR="004E7D77" w:rsidRDefault="004F4042" w:rsidP="00E65E90">
      <w:pPr>
        <w:pStyle w:val="ListBullet"/>
        <w:numPr>
          <w:ilvl w:val="0"/>
          <w:numId w:val="17"/>
        </w:numPr>
        <w:spacing w:after="40"/>
      </w:pPr>
      <w:r>
        <w:t>Review packing, logistics interfaces, recommended storage conditions, and preservation requirements for delivered equipment.</w:t>
      </w:r>
    </w:p>
    <w:p w14:paraId="6B6E0465" w14:textId="703C090C" w:rsidR="004E7D77" w:rsidRDefault="004F4042" w:rsidP="00502BC3">
      <w:pPr>
        <w:pStyle w:val="Heading2"/>
        <w:numPr>
          <w:ilvl w:val="1"/>
          <w:numId w:val="10"/>
        </w:numPr>
      </w:pPr>
      <w:r>
        <w:t>Phase 5 – Construction, Integration, and Site Supervision</w:t>
      </w:r>
    </w:p>
    <w:p w14:paraId="55E5E982" w14:textId="77777777" w:rsidR="00502BC3" w:rsidRPr="00502BC3" w:rsidRDefault="00502BC3" w:rsidP="00502BC3">
      <w:pPr>
        <w:pStyle w:val="ListParagraph"/>
      </w:pPr>
    </w:p>
    <w:p w14:paraId="76AB7EC4" w14:textId="77777777" w:rsidR="004E7D77" w:rsidRDefault="004F4042" w:rsidP="00E65E90">
      <w:pPr>
        <w:pStyle w:val="ListBullet"/>
        <w:numPr>
          <w:ilvl w:val="0"/>
          <w:numId w:val="18"/>
        </w:numPr>
        <w:spacing w:after="40"/>
      </w:pPr>
      <w:r>
        <w:t>Undertake periodic site inspections and attend scheduled project meetings to monitor progress, workmanship, quality, safety, and compliance with approved design documents.</w:t>
      </w:r>
    </w:p>
    <w:p w14:paraId="2C2B0A95" w14:textId="77777777" w:rsidR="004E7D77" w:rsidRDefault="004F4042" w:rsidP="00E65E90">
      <w:pPr>
        <w:pStyle w:val="ListBullet"/>
        <w:numPr>
          <w:ilvl w:val="0"/>
          <w:numId w:val="18"/>
        </w:numPr>
        <w:spacing w:after="40"/>
      </w:pPr>
      <w:r>
        <w:t>Review the contractor’s adherence to the approved implementation schedule and advise RICA on delays, mitigation actions, and critical path risks.</w:t>
      </w:r>
    </w:p>
    <w:p w14:paraId="0A41C6D5" w14:textId="77777777" w:rsidR="004E7D77" w:rsidRDefault="004F4042" w:rsidP="00E65E90">
      <w:pPr>
        <w:pStyle w:val="ListBullet"/>
        <w:numPr>
          <w:ilvl w:val="0"/>
          <w:numId w:val="18"/>
        </w:numPr>
        <w:spacing w:after="40"/>
      </w:pPr>
      <w:r>
        <w:t>Review planned shutdowns, tie-ins, switching procedures, and temporary operating arrangements to ensure that campus downtime is minimized and controlled.</w:t>
      </w:r>
    </w:p>
    <w:p w14:paraId="18757E8C" w14:textId="77777777" w:rsidR="004E7D77" w:rsidRDefault="004F4042" w:rsidP="00E65E90">
      <w:pPr>
        <w:pStyle w:val="ListBullet"/>
        <w:numPr>
          <w:ilvl w:val="0"/>
          <w:numId w:val="18"/>
        </w:numPr>
        <w:spacing w:after="40"/>
      </w:pPr>
      <w:r>
        <w:t>Monitor works related to installation, termination, testing, integration, and energization of the new BESS and associated systems.</w:t>
      </w:r>
    </w:p>
    <w:p w14:paraId="6E8477EE" w14:textId="77777777" w:rsidR="004E7D77" w:rsidRDefault="004F4042" w:rsidP="00E65E90">
      <w:pPr>
        <w:pStyle w:val="ListBullet"/>
        <w:numPr>
          <w:ilvl w:val="0"/>
          <w:numId w:val="18"/>
        </w:numPr>
        <w:spacing w:after="40"/>
      </w:pPr>
      <w:r>
        <w:lastRenderedPageBreak/>
        <w:t>Review non-conformances, requests for information, field changes, and proposed variations, and advise RICA on technical acceptability and commercial implications.</w:t>
      </w:r>
    </w:p>
    <w:p w14:paraId="6AF9D2B4" w14:textId="77777777" w:rsidR="004E7D77" w:rsidRDefault="004F4042" w:rsidP="00E65E90">
      <w:pPr>
        <w:pStyle w:val="ListBullet"/>
        <w:numPr>
          <w:ilvl w:val="0"/>
          <w:numId w:val="18"/>
        </w:numPr>
        <w:spacing w:after="40"/>
      </w:pPr>
      <w:r>
        <w:t>Ensure strict HSE oversight, especially for live-system interfaces, MV works, lifting operations, battery handling, and fire safety.</w:t>
      </w:r>
    </w:p>
    <w:p w14:paraId="0D153D4D" w14:textId="20CD3CE6" w:rsidR="004E7D77" w:rsidRDefault="004F4042" w:rsidP="00502BC3">
      <w:pPr>
        <w:pStyle w:val="Heading2"/>
        <w:numPr>
          <w:ilvl w:val="1"/>
          <w:numId w:val="10"/>
        </w:numPr>
      </w:pPr>
      <w:r>
        <w:t>Phase 6 – Testing, Commissioning, and Handover</w:t>
      </w:r>
    </w:p>
    <w:p w14:paraId="66B74B36" w14:textId="77777777" w:rsidR="00502BC3" w:rsidRPr="00502BC3" w:rsidRDefault="00502BC3" w:rsidP="00502BC3">
      <w:pPr>
        <w:pStyle w:val="ListParagraph"/>
      </w:pPr>
    </w:p>
    <w:p w14:paraId="02DD7AD5" w14:textId="77777777" w:rsidR="004E7D77" w:rsidRDefault="004F4042" w:rsidP="00E65E90">
      <w:pPr>
        <w:pStyle w:val="ListBullet"/>
        <w:numPr>
          <w:ilvl w:val="0"/>
          <w:numId w:val="19"/>
        </w:numPr>
        <w:spacing w:after="40"/>
      </w:pPr>
      <w:r>
        <w:t>Review and witness pre-commissioning and commissioning tests for the new BESS, associated PCS / EMS / transformer systems, and the fully integrated microgrid operation.</w:t>
      </w:r>
    </w:p>
    <w:p w14:paraId="05BDF847" w14:textId="77777777" w:rsidR="004E7D77" w:rsidRDefault="004F4042" w:rsidP="00E65E90">
      <w:pPr>
        <w:pStyle w:val="ListBullet"/>
        <w:numPr>
          <w:ilvl w:val="0"/>
          <w:numId w:val="19"/>
        </w:numPr>
        <w:spacing w:after="40"/>
      </w:pPr>
      <w:r>
        <w:t>Verify performance against contractual guarantees and approved acceptance criteria, including functional performance, protection operation, charging / discharging logic, communication with supervisory systems, and stability of integrated operation.</w:t>
      </w:r>
    </w:p>
    <w:p w14:paraId="63EA666D" w14:textId="77777777" w:rsidR="004E7D77" w:rsidRDefault="004F4042" w:rsidP="00E65E90">
      <w:pPr>
        <w:pStyle w:val="ListBullet"/>
        <w:numPr>
          <w:ilvl w:val="0"/>
          <w:numId w:val="19"/>
        </w:numPr>
        <w:spacing w:after="40"/>
      </w:pPr>
      <w:r>
        <w:t>Review punch lists / snag lists and verify satisfactory close-out before final acceptance.</w:t>
      </w:r>
    </w:p>
    <w:p w14:paraId="326861FE" w14:textId="77777777" w:rsidR="004E7D77" w:rsidRDefault="004F4042" w:rsidP="00E65E90">
      <w:pPr>
        <w:pStyle w:val="ListBullet"/>
        <w:numPr>
          <w:ilvl w:val="0"/>
          <w:numId w:val="19"/>
        </w:numPr>
        <w:spacing w:after="40"/>
      </w:pPr>
      <w:r>
        <w:t>Review and confirm completeness of as-built drawings, final settings, software backups, O&amp;M manuals, training records, spare parts lists, warranty documents, and maintenance obligations.</w:t>
      </w:r>
    </w:p>
    <w:p w14:paraId="6984283C" w14:textId="77777777" w:rsidR="004E7D77" w:rsidRDefault="004F4042" w:rsidP="00E65E90">
      <w:pPr>
        <w:pStyle w:val="ListBullet"/>
        <w:numPr>
          <w:ilvl w:val="0"/>
          <w:numId w:val="19"/>
        </w:numPr>
        <w:spacing w:after="40"/>
      </w:pPr>
      <w:r>
        <w:t>Submit a final commissioning and handover report with recommendation for provisional acceptance, final acceptance, or conditional acceptance.</w:t>
      </w:r>
    </w:p>
    <w:p w14:paraId="0E087345" w14:textId="4DF3D326" w:rsidR="004E7D77" w:rsidRDefault="004F4042" w:rsidP="00502BC3">
      <w:pPr>
        <w:pStyle w:val="Heading1"/>
        <w:numPr>
          <w:ilvl w:val="0"/>
          <w:numId w:val="10"/>
        </w:numPr>
      </w:pPr>
      <w:r>
        <w:t>Deliverables</w:t>
      </w:r>
    </w:p>
    <w:p w14:paraId="441753BA" w14:textId="77777777" w:rsidR="00502BC3" w:rsidRPr="00502BC3" w:rsidRDefault="00502BC3" w:rsidP="00502BC3">
      <w:pPr>
        <w:pStyle w:val="ListParagraph"/>
      </w:pPr>
    </w:p>
    <w:p w14:paraId="753AE000" w14:textId="77777777" w:rsidR="004E7D77" w:rsidRDefault="004F4042">
      <w:r>
        <w:t>The OTA shall submit the following deliverables, in English, in editable and PDF formats. All reports shall be concise, decision-oriented, and supported by annexes where necessary.</w:t>
      </w:r>
    </w:p>
    <w:tbl>
      <w:tblPr>
        <w:tblStyle w:val="TableGrid"/>
        <w:tblW w:w="0" w:type="auto"/>
        <w:jc w:val="center"/>
        <w:tblLook w:val="04A0" w:firstRow="1" w:lastRow="0" w:firstColumn="1" w:lastColumn="0" w:noHBand="0" w:noVBand="1"/>
      </w:tblPr>
      <w:tblGrid>
        <w:gridCol w:w="716"/>
        <w:gridCol w:w="2288"/>
        <w:gridCol w:w="5119"/>
        <w:gridCol w:w="1725"/>
      </w:tblGrid>
      <w:tr w:rsidR="004E7D77" w14:paraId="54DA1198" w14:textId="77777777">
        <w:trPr>
          <w:tblHeader/>
          <w:jc w:val="center"/>
        </w:trPr>
        <w:tc>
          <w:tcPr>
            <w:tcW w:w="720" w:type="dxa"/>
            <w:shd w:val="clear" w:color="auto" w:fill="D9EAF7"/>
            <w:tcMar>
              <w:top w:w="90" w:type="dxa"/>
              <w:left w:w="100" w:type="dxa"/>
              <w:bottom w:w="90" w:type="dxa"/>
              <w:right w:w="100" w:type="dxa"/>
            </w:tcMar>
            <w:vAlign w:val="center"/>
          </w:tcPr>
          <w:p w14:paraId="6EB05A35" w14:textId="77777777" w:rsidR="004E7D77" w:rsidRDefault="004F4042">
            <w:r>
              <w:rPr>
                <w:b/>
              </w:rPr>
              <w:t>No.</w:t>
            </w:r>
          </w:p>
        </w:tc>
        <w:tc>
          <w:tcPr>
            <w:tcW w:w="2304" w:type="dxa"/>
            <w:shd w:val="clear" w:color="auto" w:fill="D9EAF7"/>
            <w:tcMar>
              <w:top w:w="90" w:type="dxa"/>
              <w:left w:w="100" w:type="dxa"/>
              <w:bottom w:w="90" w:type="dxa"/>
              <w:right w:w="100" w:type="dxa"/>
            </w:tcMar>
            <w:vAlign w:val="center"/>
          </w:tcPr>
          <w:p w14:paraId="7E8186FB" w14:textId="77777777" w:rsidR="004E7D77" w:rsidRDefault="004F4042">
            <w:r>
              <w:rPr>
                <w:b/>
              </w:rPr>
              <w:t>Deliverable</w:t>
            </w:r>
          </w:p>
        </w:tc>
        <w:tc>
          <w:tcPr>
            <w:tcW w:w="5184" w:type="dxa"/>
            <w:shd w:val="clear" w:color="auto" w:fill="D9EAF7"/>
            <w:tcMar>
              <w:top w:w="90" w:type="dxa"/>
              <w:left w:w="100" w:type="dxa"/>
              <w:bottom w:w="90" w:type="dxa"/>
              <w:right w:w="100" w:type="dxa"/>
            </w:tcMar>
            <w:vAlign w:val="center"/>
          </w:tcPr>
          <w:p w14:paraId="4A244265" w14:textId="77777777" w:rsidR="004E7D77" w:rsidRDefault="004F4042">
            <w:r>
              <w:rPr>
                <w:b/>
              </w:rPr>
              <w:t>Indicative Content</w:t>
            </w:r>
          </w:p>
        </w:tc>
        <w:tc>
          <w:tcPr>
            <w:tcW w:w="1728" w:type="dxa"/>
            <w:shd w:val="clear" w:color="auto" w:fill="D9EAF7"/>
            <w:tcMar>
              <w:top w:w="90" w:type="dxa"/>
              <w:left w:w="100" w:type="dxa"/>
              <w:bottom w:w="90" w:type="dxa"/>
              <w:right w:w="100" w:type="dxa"/>
            </w:tcMar>
            <w:vAlign w:val="center"/>
          </w:tcPr>
          <w:p w14:paraId="6C13F63A" w14:textId="77777777" w:rsidR="004E7D77" w:rsidRDefault="004F4042">
            <w:r>
              <w:rPr>
                <w:b/>
              </w:rPr>
              <w:t>Timing</w:t>
            </w:r>
          </w:p>
        </w:tc>
      </w:tr>
      <w:tr w:rsidR="004E7D77" w14:paraId="07AB49A7" w14:textId="77777777">
        <w:trPr>
          <w:jc w:val="center"/>
        </w:trPr>
        <w:tc>
          <w:tcPr>
            <w:tcW w:w="720" w:type="dxa"/>
            <w:tcMar>
              <w:top w:w="80" w:type="dxa"/>
              <w:left w:w="100" w:type="dxa"/>
              <w:bottom w:w="80" w:type="dxa"/>
              <w:right w:w="100" w:type="dxa"/>
            </w:tcMar>
            <w:vAlign w:val="center"/>
          </w:tcPr>
          <w:p w14:paraId="4CE1DE3E" w14:textId="77777777" w:rsidR="004E7D77" w:rsidRDefault="004F4042">
            <w:r>
              <w:t>D1</w:t>
            </w:r>
          </w:p>
        </w:tc>
        <w:tc>
          <w:tcPr>
            <w:tcW w:w="2304" w:type="dxa"/>
            <w:tcMar>
              <w:top w:w="80" w:type="dxa"/>
              <w:left w:w="100" w:type="dxa"/>
              <w:bottom w:w="80" w:type="dxa"/>
              <w:right w:w="100" w:type="dxa"/>
            </w:tcMar>
            <w:vAlign w:val="center"/>
          </w:tcPr>
          <w:p w14:paraId="1017CB31" w14:textId="77777777" w:rsidR="004E7D77" w:rsidRDefault="004F4042">
            <w:r>
              <w:t>Inception Report</w:t>
            </w:r>
          </w:p>
        </w:tc>
        <w:tc>
          <w:tcPr>
            <w:tcW w:w="5184" w:type="dxa"/>
            <w:tcMar>
              <w:top w:w="80" w:type="dxa"/>
              <w:left w:w="100" w:type="dxa"/>
              <w:bottom w:w="80" w:type="dxa"/>
              <w:right w:w="100" w:type="dxa"/>
            </w:tcMar>
            <w:vAlign w:val="center"/>
          </w:tcPr>
          <w:p w14:paraId="7BDAC208" w14:textId="77777777" w:rsidR="004E7D77" w:rsidRDefault="004F4042">
            <w:r>
              <w:t>Assignment plan, methodology, document request list, key risks, and reporting format.</w:t>
            </w:r>
          </w:p>
        </w:tc>
        <w:tc>
          <w:tcPr>
            <w:tcW w:w="1728" w:type="dxa"/>
            <w:tcMar>
              <w:top w:w="80" w:type="dxa"/>
              <w:left w:w="100" w:type="dxa"/>
              <w:bottom w:w="80" w:type="dxa"/>
              <w:right w:w="100" w:type="dxa"/>
            </w:tcMar>
            <w:vAlign w:val="center"/>
          </w:tcPr>
          <w:p w14:paraId="1252A5B2" w14:textId="77777777" w:rsidR="004E7D77" w:rsidRDefault="004F4042">
            <w:r>
              <w:t>Within 2 weeks of commencement</w:t>
            </w:r>
          </w:p>
        </w:tc>
      </w:tr>
      <w:tr w:rsidR="004E7D77" w14:paraId="49126C31" w14:textId="77777777">
        <w:trPr>
          <w:jc w:val="center"/>
        </w:trPr>
        <w:tc>
          <w:tcPr>
            <w:tcW w:w="720" w:type="dxa"/>
            <w:tcMar>
              <w:top w:w="80" w:type="dxa"/>
              <w:left w:w="100" w:type="dxa"/>
              <w:bottom w:w="80" w:type="dxa"/>
              <w:right w:w="100" w:type="dxa"/>
            </w:tcMar>
            <w:vAlign w:val="center"/>
          </w:tcPr>
          <w:p w14:paraId="513530AF" w14:textId="77777777" w:rsidR="004E7D77" w:rsidRDefault="004F4042">
            <w:r>
              <w:t>D2</w:t>
            </w:r>
          </w:p>
        </w:tc>
        <w:tc>
          <w:tcPr>
            <w:tcW w:w="2304" w:type="dxa"/>
            <w:tcMar>
              <w:top w:w="80" w:type="dxa"/>
              <w:left w:w="100" w:type="dxa"/>
              <w:bottom w:w="80" w:type="dxa"/>
              <w:right w:w="100" w:type="dxa"/>
            </w:tcMar>
            <w:vAlign w:val="center"/>
          </w:tcPr>
          <w:p w14:paraId="00997914" w14:textId="77777777" w:rsidR="004E7D77" w:rsidRDefault="004F4042">
            <w:r>
              <w:t>Existing System Audit &amp; RFQ Review Report</w:t>
            </w:r>
          </w:p>
        </w:tc>
        <w:tc>
          <w:tcPr>
            <w:tcW w:w="5184" w:type="dxa"/>
            <w:tcMar>
              <w:top w:w="80" w:type="dxa"/>
              <w:left w:w="100" w:type="dxa"/>
              <w:bottom w:w="80" w:type="dxa"/>
              <w:right w:w="100" w:type="dxa"/>
            </w:tcMar>
            <w:vAlign w:val="center"/>
          </w:tcPr>
          <w:p w14:paraId="1AC69D07" w14:textId="77777777" w:rsidR="004E7D77" w:rsidRDefault="004F4042">
            <w:r>
              <w:t>Baseline condition, interface risks, review comments on RFQ/specifications, and recommendations before issue.</w:t>
            </w:r>
          </w:p>
        </w:tc>
        <w:tc>
          <w:tcPr>
            <w:tcW w:w="1728" w:type="dxa"/>
            <w:tcMar>
              <w:top w:w="80" w:type="dxa"/>
              <w:left w:w="100" w:type="dxa"/>
              <w:bottom w:w="80" w:type="dxa"/>
              <w:right w:w="100" w:type="dxa"/>
            </w:tcMar>
            <w:vAlign w:val="center"/>
          </w:tcPr>
          <w:p w14:paraId="5082E830" w14:textId="77777777" w:rsidR="004E7D77" w:rsidRDefault="004F4042">
            <w:r>
              <w:t>Before RFQ issuance / early assignment stage</w:t>
            </w:r>
          </w:p>
        </w:tc>
      </w:tr>
      <w:tr w:rsidR="004E7D77" w14:paraId="1F446C30" w14:textId="77777777">
        <w:trPr>
          <w:jc w:val="center"/>
        </w:trPr>
        <w:tc>
          <w:tcPr>
            <w:tcW w:w="720" w:type="dxa"/>
            <w:tcMar>
              <w:top w:w="80" w:type="dxa"/>
              <w:left w:w="100" w:type="dxa"/>
              <w:bottom w:w="80" w:type="dxa"/>
              <w:right w:w="100" w:type="dxa"/>
            </w:tcMar>
            <w:vAlign w:val="center"/>
          </w:tcPr>
          <w:p w14:paraId="62CD616D" w14:textId="77777777" w:rsidR="004E7D77" w:rsidRDefault="004F4042">
            <w:r>
              <w:t>D3</w:t>
            </w:r>
          </w:p>
        </w:tc>
        <w:tc>
          <w:tcPr>
            <w:tcW w:w="2304" w:type="dxa"/>
            <w:tcMar>
              <w:top w:w="80" w:type="dxa"/>
              <w:left w:w="100" w:type="dxa"/>
              <w:bottom w:w="80" w:type="dxa"/>
              <w:right w:w="100" w:type="dxa"/>
            </w:tcMar>
            <w:vAlign w:val="center"/>
          </w:tcPr>
          <w:p w14:paraId="7C1F7354" w14:textId="77777777" w:rsidR="004E7D77" w:rsidRDefault="004F4042">
            <w:r>
              <w:t>Technical Evaluation Report</w:t>
            </w:r>
          </w:p>
        </w:tc>
        <w:tc>
          <w:tcPr>
            <w:tcW w:w="5184" w:type="dxa"/>
            <w:tcMar>
              <w:top w:w="80" w:type="dxa"/>
              <w:left w:w="100" w:type="dxa"/>
              <w:bottom w:w="80" w:type="dxa"/>
              <w:right w:w="100" w:type="dxa"/>
            </w:tcMar>
            <w:vAlign w:val="center"/>
          </w:tcPr>
          <w:p w14:paraId="5D984A76" w14:textId="77777777" w:rsidR="004E7D77" w:rsidRDefault="004F4042">
            <w:r>
              <w:t>Responsiveness review, technical scoring input, deviations matrix, and recommendation.</w:t>
            </w:r>
          </w:p>
        </w:tc>
        <w:tc>
          <w:tcPr>
            <w:tcW w:w="1728" w:type="dxa"/>
            <w:tcMar>
              <w:top w:w="80" w:type="dxa"/>
              <w:left w:w="100" w:type="dxa"/>
              <w:bottom w:w="80" w:type="dxa"/>
              <w:right w:w="100" w:type="dxa"/>
            </w:tcMar>
            <w:vAlign w:val="center"/>
          </w:tcPr>
          <w:p w14:paraId="366D6EE7" w14:textId="77777777" w:rsidR="004E7D77" w:rsidRDefault="004F4042">
            <w:r>
              <w:t>After bid receipt</w:t>
            </w:r>
          </w:p>
        </w:tc>
      </w:tr>
      <w:tr w:rsidR="004E7D77" w14:paraId="7BC88C91" w14:textId="77777777">
        <w:trPr>
          <w:jc w:val="center"/>
        </w:trPr>
        <w:tc>
          <w:tcPr>
            <w:tcW w:w="720" w:type="dxa"/>
            <w:tcMar>
              <w:top w:w="80" w:type="dxa"/>
              <w:left w:w="100" w:type="dxa"/>
              <w:bottom w:w="80" w:type="dxa"/>
              <w:right w:w="100" w:type="dxa"/>
            </w:tcMar>
            <w:vAlign w:val="center"/>
          </w:tcPr>
          <w:p w14:paraId="1EF71FDE" w14:textId="77777777" w:rsidR="004E7D77" w:rsidRDefault="004F4042">
            <w:r>
              <w:t>D4</w:t>
            </w:r>
          </w:p>
        </w:tc>
        <w:tc>
          <w:tcPr>
            <w:tcW w:w="2304" w:type="dxa"/>
            <w:tcMar>
              <w:top w:w="80" w:type="dxa"/>
              <w:left w:w="100" w:type="dxa"/>
              <w:bottom w:w="80" w:type="dxa"/>
              <w:right w:w="100" w:type="dxa"/>
            </w:tcMar>
            <w:vAlign w:val="center"/>
          </w:tcPr>
          <w:p w14:paraId="098E447E" w14:textId="77777777" w:rsidR="004E7D77" w:rsidRDefault="004F4042">
            <w:r>
              <w:t>Design Review Reports</w:t>
            </w:r>
          </w:p>
        </w:tc>
        <w:tc>
          <w:tcPr>
            <w:tcW w:w="5184" w:type="dxa"/>
            <w:tcMar>
              <w:top w:w="80" w:type="dxa"/>
              <w:left w:w="100" w:type="dxa"/>
              <w:bottom w:w="80" w:type="dxa"/>
              <w:right w:w="100" w:type="dxa"/>
            </w:tcMar>
            <w:vAlign w:val="center"/>
          </w:tcPr>
          <w:p w14:paraId="31E65C22" w14:textId="77777777" w:rsidR="004E7D77" w:rsidRDefault="004F4042">
            <w:r>
              <w:t>Formal review comments on contractor submissions and closure matrix.</w:t>
            </w:r>
          </w:p>
        </w:tc>
        <w:tc>
          <w:tcPr>
            <w:tcW w:w="1728" w:type="dxa"/>
            <w:tcMar>
              <w:top w:w="80" w:type="dxa"/>
              <w:left w:w="100" w:type="dxa"/>
              <w:bottom w:w="80" w:type="dxa"/>
              <w:right w:w="100" w:type="dxa"/>
            </w:tcMar>
            <w:vAlign w:val="center"/>
          </w:tcPr>
          <w:p w14:paraId="6D694D54" w14:textId="77777777" w:rsidR="004E7D77" w:rsidRDefault="004F4042">
            <w:r>
              <w:t>As submissions are received</w:t>
            </w:r>
          </w:p>
        </w:tc>
      </w:tr>
      <w:tr w:rsidR="004E7D77" w14:paraId="4FCA4FD9" w14:textId="77777777">
        <w:trPr>
          <w:jc w:val="center"/>
        </w:trPr>
        <w:tc>
          <w:tcPr>
            <w:tcW w:w="720" w:type="dxa"/>
            <w:tcMar>
              <w:top w:w="80" w:type="dxa"/>
              <w:left w:w="100" w:type="dxa"/>
              <w:bottom w:w="80" w:type="dxa"/>
              <w:right w:w="100" w:type="dxa"/>
            </w:tcMar>
            <w:vAlign w:val="center"/>
          </w:tcPr>
          <w:p w14:paraId="57C59D05" w14:textId="77777777" w:rsidR="004E7D77" w:rsidRDefault="004F4042">
            <w:r>
              <w:t>D5</w:t>
            </w:r>
          </w:p>
        </w:tc>
        <w:tc>
          <w:tcPr>
            <w:tcW w:w="2304" w:type="dxa"/>
            <w:tcMar>
              <w:top w:w="80" w:type="dxa"/>
              <w:left w:w="100" w:type="dxa"/>
              <w:bottom w:w="80" w:type="dxa"/>
              <w:right w:w="100" w:type="dxa"/>
            </w:tcMar>
            <w:vAlign w:val="center"/>
          </w:tcPr>
          <w:p w14:paraId="5325BCE1" w14:textId="77777777" w:rsidR="004E7D77" w:rsidRDefault="004F4042">
            <w:r>
              <w:t>Monthly / Periodic Progress Reports</w:t>
            </w:r>
          </w:p>
        </w:tc>
        <w:tc>
          <w:tcPr>
            <w:tcW w:w="5184" w:type="dxa"/>
            <w:tcMar>
              <w:top w:w="80" w:type="dxa"/>
              <w:left w:w="100" w:type="dxa"/>
              <w:bottom w:w="80" w:type="dxa"/>
              <w:right w:w="100" w:type="dxa"/>
            </w:tcMar>
            <w:vAlign w:val="center"/>
          </w:tcPr>
          <w:p w14:paraId="69CBEB70" w14:textId="77777777" w:rsidR="004E7D77" w:rsidRDefault="004F4042">
            <w:r>
              <w:t>Progress status, HSE observations, quality findings, risks, decisions required, and photographic record.</w:t>
            </w:r>
          </w:p>
        </w:tc>
        <w:tc>
          <w:tcPr>
            <w:tcW w:w="1728" w:type="dxa"/>
            <w:tcMar>
              <w:top w:w="80" w:type="dxa"/>
              <w:left w:w="100" w:type="dxa"/>
              <w:bottom w:w="80" w:type="dxa"/>
              <w:right w:w="100" w:type="dxa"/>
            </w:tcMar>
            <w:vAlign w:val="center"/>
          </w:tcPr>
          <w:p w14:paraId="4F141083" w14:textId="77777777" w:rsidR="004E7D77" w:rsidRDefault="004F4042">
            <w:r>
              <w:t>Monthly during implementation</w:t>
            </w:r>
          </w:p>
        </w:tc>
      </w:tr>
      <w:tr w:rsidR="004E7D77" w14:paraId="2D5DFD52" w14:textId="77777777">
        <w:trPr>
          <w:jc w:val="center"/>
        </w:trPr>
        <w:tc>
          <w:tcPr>
            <w:tcW w:w="720" w:type="dxa"/>
            <w:tcMar>
              <w:top w:w="80" w:type="dxa"/>
              <w:left w:w="100" w:type="dxa"/>
              <w:bottom w:w="80" w:type="dxa"/>
              <w:right w:w="100" w:type="dxa"/>
            </w:tcMar>
            <w:vAlign w:val="center"/>
          </w:tcPr>
          <w:p w14:paraId="1F662501" w14:textId="77777777" w:rsidR="004E7D77" w:rsidRDefault="004F4042">
            <w:r>
              <w:lastRenderedPageBreak/>
              <w:t>D6</w:t>
            </w:r>
          </w:p>
        </w:tc>
        <w:tc>
          <w:tcPr>
            <w:tcW w:w="2304" w:type="dxa"/>
            <w:tcMar>
              <w:top w:w="80" w:type="dxa"/>
              <w:left w:w="100" w:type="dxa"/>
              <w:bottom w:w="80" w:type="dxa"/>
              <w:right w:w="100" w:type="dxa"/>
            </w:tcMar>
            <w:vAlign w:val="center"/>
          </w:tcPr>
          <w:p w14:paraId="2CA663CB" w14:textId="77777777" w:rsidR="004E7D77" w:rsidRDefault="004F4042">
            <w:r>
              <w:t>Milestone Verification Notes</w:t>
            </w:r>
          </w:p>
        </w:tc>
        <w:tc>
          <w:tcPr>
            <w:tcW w:w="5184" w:type="dxa"/>
            <w:tcMar>
              <w:top w:w="80" w:type="dxa"/>
              <w:left w:w="100" w:type="dxa"/>
              <w:bottom w:w="80" w:type="dxa"/>
              <w:right w:w="100" w:type="dxa"/>
            </w:tcMar>
            <w:vAlign w:val="center"/>
          </w:tcPr>
          <w:p w14:paraId="064F20B7" w14:textId="77777777" w:rsidR="004E7D77" w:rsidRDefault="004F4042">
            <w:r>
              <w:t>Recommendation for technical acceptance of key milestones for payment and progress control.</w:t>
            </w:r>
          </w:p>
        </w:tc>
        <w:tc>
          <w:tcPr>
            <w:tcW w:w="1728" w:type="dxa"/>
            <w:tcMar>
              <w:top w:w="80" w:type="dxa"/>
              <w:left w:w="100" w:type="dxa"/>
              <w:bottom w:w="80" w:type="dxa"/>
              <w:right w:w="100" w:type="dxa"/>
            </w:tcMar>
            <w:vAlign w:val="center"/>
          </w:tcPr>
          <w:p w14:paraId="24A6C846" w14:textId="77777777" w:rsidR="004E7D77" w:rsidRDefault="004F4042">
            <w:r>
              <w:t>At agreed milestones</w:t>
            </w:r>
          </w:p>
        </w:tc>
      </w:tr>
      <w:tr w:rsidR="004E7D77" w14:paraId="1060E823" w14:textId="77777777">
        <w:trPr>
          <w:jc w:val="center"/>
        </w:trPr>
        <w:tc>
          <w:tcPr>
            <w:tcW w:w="720" w:type="dxa"/>
            <w:tcMar>
              <w:top w:w="80" w:type="dxa"/>
              <w:left w:w="100" w:type="dxa"/>
              <w:bottom w:w="80" w:type="dxa"/>
              <w:right w:w="100" w:type="dxa"/>
            </w:tcMar>
            <w:vAlign w:val="center"/>
          </w:tcPr>
          <w:p w14:paraId="09CC0F1B" w14:textId="77777777" w:rsidR="004E7D77" w:rsidRDefault="004F4042">
            <w:r>
              <w:t>D7</w:t>
            </w:r>
          </w:p>
        </w:tc>
        <w:tc>
          <w:tcPr>
            <w:tcW w:w="2304" w:type="dxa"/>
            <w:tcMar>
              <w:top w:w="80" w:type="dxa"/>
              <w:left w:w="100" w:type="dxa"/>
              <w:bottom w:w="80" w:type="dxa"/>
              <w:right w:w="100" w:type="dxa"/>
            </w:tcMar>
            <w:vAlign w:val="center"/>
          </w:tcPr>
          <w:p w14:paraId="746C29E4" w14:textId="77777777" w:rsidR="004E7D77" w:rsidRDefault="004F4042">
            <w:r>
              <w:t>Commissioning Witness Report</w:t>
            </w:r>
          </w:p>
        </w:tc>
        <w:tc>
          <w:tcPr>
            <w:tcW w:w="5184" w:type="dxa"/>
            <w:tcMar>
              <w:top w:w="80" w:type="dxa"/>
              <w:left w:w="100" w:type="dxa"/>
              <w:bottom w:w="80" w:type="dxa"/>
              <w:right w:w="100" w:type="dxa"/>
            </w:tcMar>
            <w:vAlign w:val="center"/>
          </w:tcPr>
          <w:p w14:paraId="748FFAAC" w14:textId="77777777" w:rsidR="004E7D77" w:rsidRDefault="004F4042">
            <w:r>
              <w:t xml:space="preserve">Summary of tests </w:t>
            </w:r>
            <w:proofErr w:type="gramStart"/>
            <w:r>
              <w:t>witnessed,</w:t>
            </w:r>
            <w:proofErr w:type="gramEnd"/>
            <w:r>
              <w:t xml:space="preserve"> results, deficiencies, and remedial actions.</w:t>
            </w:r>
          </w:p>
        </w:tc>
        <w:tc>
          <w:tcPr>
            <w:tcW w:w="1728" w:type="dxa"/>
            <w:tcMar>
              <w:top w:w="80" w:type="dxa"/>
              <w:left w:w="100" w:type="dxa"/>
              <w:bottom w:w="80" w:type="dxa"/>
              <w:right w:w="100" w:type="dxa"/>
            </w:tcMar>
            <w:vAlign w:val="center"/>
          </w:tcPr>
          <w:p w14:paraId="52909996" w14:textId="77777777" w:rsidR="004E7D77" w:rsidRDefault="004F4042">
            <w:r>
              <w:t>At commissioning</w:t>
            </w:r>
          </w:p>
        </w:tc>
      </w:tr>
      <w:tr w:rsidR="004E7D77" w14:paraId="4716A015" w14:textId="77777777">
        <w:trPr>
          <w:jc w:val="center"/>
        </w:trPr>
        <w:tc>
          <w:tcPr>
            <w:tcW w:w="720" w:type="dxa"/>
            <w:tcMar>
              <w:top w:w="80" w:type="dxa"/>
              <w:left w:w="100" w:type="dxa"/>
              <w:bottom w:w="80" w:type="dxa"/>
              <w:right w:w="100" w:type="dxa"/>
            </w:tcMar>
            <w:vAlign w:val="center"/>
          </w:tcPr>
          <w:p w14:paraId="70B6359E" w14:textId="77777777" w:rsidR="004E7D77" w:rsidRDefault="004F4042">
            <w:r>
              <w:t>D8</w:t>
            </w:r>
          </w:p>
        </w:tc>
        <w:tc>
          <w:tcPr>
            <w:tcW w:w="2304" w:type="dxa"/>
            <w:tcMar>
              <w:top w:w="80" w:type="dxa"/>
              <w:left w:w="100" w:type="dxa"/>
              <w:bottom w:w="80" w:type="dxa"/>
              <w:right w:w="100" w:type="dxa"/>
            </w:tcMar>
            <w:vAlign w:val="center"/>
          </w:tcPr>
          <w:p w14:paraId="1933E35D" w14:textId="77777777" w:rsidR="004E7D77" w:rsidRDefault="004F4042">
            <w:r>
              <w:t>Final Handover Report</w:t>
            </w:r>
          </w:p>
        </w:tc>
        <w:tc>
          <w:tcPr>
            <w:tcW w:w="5184" w:type="dxa"/>
            <w:tcMar>
              <w:top w:w="80" w:type="dxa"/>
              <w:left w:w="100" w:type="dxa"/>
              <w:bottom w:w="80" w:type="dxa"/>
              <w:right w:w="100" w:type="dxa"/>
            </w:tcMar>
            <w:vAlign w:val="center"/>
          </w:tcPr>
          <w:p w14:paraId="76A62F17" w14:textId="77777777" w:rsidR="004E7D77" w:rsidRDefault="004F4042">
            <w:r>
              <w:t>Overall completion status, snag closure, handover documentation review, and recommendation for acceptance.</w:t>
            </w:r>
          </w:p>
        </w:tc>
        <w:tc>
          <w:tcPr>
            <w:tcW w:w="1728" w:type="dxa"/>
            <w:tcMar>
              <w:top w:w="80" w:type="dxa"/>
              <w:left w:w="100" w:type="dxa"/>
              <w:bottom w:w="80" w:type="dxa"/>
              <w:right w:w="100" w:type="dxa"/>
            </w:tcMar>
            <w:vAlign w:val="center"/>
          </w:tcPr>
          <w:p w14:paraId="60696A0F" w14:textId="77777777" w:rsidR="004E7D77" w:rsidRDefault="004F4042">
            <w:r>
              <w:t>At project completion</w:t>
            </w:r>
          </w:p>
        </w:tc>
      </w:tr>
    </w:tbl>
    <w:p w14:paraId="4A082F47" w14:textId="4ECFD908" w:rsidR="004E7D77" w:rsidRDefault="004F4042" w:rsidP="00502BC3">
      <w:pPr>
        <w:pStyle w:val="Heading1"/>
        <w:numPr>
          <w:ilvl w:val="0"/>
          <w:numId w:val="10"/>
        </w:numPr>
      </w:pPr>
      <w:r>
        <w:t>Level of Effort and Presence on Site</w:t>
      </w:r>
    </w:p>
    <w:p w14:paraId="3F5584AE" w14:textId="77777777" w:rsidR="00502BC3" w:rsidRPr="00502BC3" w:rsidRDefault="00502BC3" w:rsidP="00502BC3">
      <w:pPr>
        <w:pStyle w:val="ListParagraph"/>
      </w:pPr>
    </w:p>
    <w:p w14:paraId="370A94FB" w14:textId="77777777" w:rsidR="004E7D77" w:rsidRDefault="004F4042">
      <w:pPr>
        <w:spacing w:after="100"/>
      </w:pPr>
      <w:r>
        <w:t>The assignment is expected to run in parallel with the EPC / supply-and-install contract from pre-procurement support through final handover. The proposed level of effort shall be sufficient to cover document review, meetings, periodic site attendance, testing, and reporting.</w:t>
      </w:r>
    </w:p>
    <w:p w14:paraId="2C022106" w14:textId="77777777" w:rsidR="004E7D77" w:rsidRDefault="004F4042">
      <w:pPr>
        <w:spacing w:after="100"/>
      </w:pPr>
      <w:r>
        <w:t>Bidders shall propose their own man-days, key inputs, and site attendance schedule, but the proposal shall clearly demonstrate adequate involvement during the design review stage, critical tie-in activities, testing, commissioning, and handover.</w:t>
      </w:r>
    </w:p>
    <w:p w14:paraId="68B9B3BA" w14:textId="3E65627E" w:rsidR="004E7D77" w:rsidRDefault="004F4042" w:rsidP="00502BC3">
      <w:pPr>
        <w:pStyle w:val="Heading1"/>
        <w:numPr>
          <w:ilvl w:val="0"/>
          <w:numId w:val="10"/>
        </w:numPr>
      </w:pPr>
      <w:r>
        <w:t>Consultant Qualifications and Experience</w:t>
      </w:r>
    </w:p>
    <w:p w14:paraId="77597834" w14:textId="77777777" w:rsidR="00502BC3" w:rsidRPr="00502BC3" w:rsidRDefault="00502BC3" w:rsidP="00502BC3">
      <w:pPr>
        <w:pStyle w:val="ListParagraph"/>
      </w:pPr>
    </w:p>
    <w:p w14:paraId="738BD92B" w14:textId="4E134B87" w:rsidR="00B035C0" w:rsidRDefault="004F4042" w:rsidP="00E65E90">
      <w:pPr>
        <w:pStyle w:val="ListBullet"/>
        <w:numPr>
          <w:ilvl w:val="0"/>
          <w:numId w:val="20"/>
        </w:numPr>
        <w:spacing w:after="40"/>
      </w:pPr>
      <w:r>
        <w:t>Bachelor’s degree or higher in Electrical Engineering, Power Systems Engineering, Renewable Energy Engineering, or closely related field.</w:t>
      </w:r>
    </w:p>
    <w:p w14:paraId="65D65C5B" w14:textId="2FF31B54" w:rsidR="004E7D77" w:rsidRDefault="004F4042" w:rsidP="00F61DCF">
      <w:pPr>
        <w:pStyle w:val="ListBullet"/>
        <w:numPr>
          <w:ilvl w:val="0"/>
          <w:numId w:val="20"/>
        </w:numPr>
        <w:spacing w:after="40"/>
      </w:pPr>
      <w:r>
        <w:t xml:space="preserve">At least </w:t>
      </w:r>
      <w:r w:rsidR="6367A5C7">
        <w:t>10</w:t>
      </w:r>
      <w:r>
        <w:t xml:space="preserve"> years of relevant professional experience in commercial, industrial, utility-scale, or institutional solar PV and battery storage systems</w:t>
      </w:r>
      <w:r w:rsidR="16153F44">
        <w:t xml:space="preserve"> </w:t>
      </w:r>
      <w:r w:rsidR="5D80483C">
        <w:t>of at least</w:t>
      </w:r>
      <w:r w:rsidR="16153F44">
        <w:t xml:space="preserve"> </w:t>
      </w:r>
      <w:r w:rsidR="16153F44" w:rsidRPr="00B035C0">
        <w:rPr>
          <w:b/>
          <w:bCs/>
        </w:rPr>
        <w:t>3MWh</w:t>
      </w:r>
      <w:r w:rsidR="16153F44">
        <w:t xml:space="preserve"> capacity</w:t>
      </w:r>
      <w:r>
        <w:t>.</w:t>
      </w:r>
    </w:p>
    <w:p w14:paraId="6BA1FB8D" w14:textId="77777777" w:rsidR="004E7D77" w:rsidRDefault="004F4042" w:rsidP="00E65E90">
      <w:pPr>
        <w:pStyle w:val="ListBullet"/>
        <w:numPr>
          <w:ilvl w:val="0"/>
          <w:numId w:val="20"/>
        </w:numPr>
        <w:spacing w:after="40"/>
      </w:pPr>
      <w:r>
        <w:t>Demonstrated experience in hybrid microgrids, BESS integration, retrofit / brownfield upgrades, or complex solar-plus-storage projects.</w:t>
      </w:r>
    </w:p>
    <w:p w14:paraId="403C5106" w14:textId="77777777" w:rsidR="004E7D77" w:rsidRDefault="004F4042" w:rsidP="00E65E90">
      <w:pPr>
        <w:pStyle w:val="ListBullet"/>
        <w:numPr>
          <w:ilvl w:val="0"/>
          <w:numId w:val="20"/>
        </w:numPr>
        <w:spacing w:after="40"/>
      </w:pPr>
      <w:r>
        <w:t>Strong working knowledge of design review, electrical protection, controls, communication systems, commissioning, and operational risk management for power systems.</w:t>
      </w:r>
    </w:p>
    <w:p w14:paraId="64FD364F" w14:textId="77777777" w:rsidR="004E7D77" w:rsidRDefault="004F4042" w:rsidP="00E65E90">
      <w:pPr>
        <w:pStyle w:val="ListBullet"/>
        <w:numPr>
          <w:ilvl w:val="0"/>
          <w:numId w:val="20"/>
        </w:numPr>
        <w:spacing w:after="40"/>
      </w:pPr>
      <w:r>
        <w:t>Strong understanding of applicable IEC standards, electrical safety requirements, and good engineering practice relevant to PV, BESS, medium-voltage systems, and diesel-integrated microgrids.</w:t>
      </w:r>
    </w:p>
    <w:p w14:paraId="61195A73" w14:textId="66A13ACF" w:rsidR="004E7D77" w:rsidRDefault="004F4042" w:rsidP="00E65E90">
      <w:pPr>
        <w:pStyle w:val="ListBullet"/>
        <w:numPr>
          <w:ilvl w:val="0"/>
          <w:numId w:val="20"/>
        </w:numPr>
        <w:spacing w:after="40"/>
      </w:pPr>
      <w:r>
        <w:t>Professional accreditation by the Institute of Engineers Rwanda is preferred where applicable, and any legally required practicing licenses or authorizations in Rwanda</w:t>
      </w:r>
      <w:r w:rsidR="00680C22">
        <w:t xml:space="preserve"> (RURA certificate class D</w:t>
      </w:r>
      <w:r w:rsidR="005A628F">
        <w:t>)</w:t>
      </w:r>
      <w:r>
        <w:t xml:space="preserve"> shall be held or obtainable at the time of engagement.</w:t>
      </w:r>
    </w:p>
    <w:p w14:paraId="6E1FF993" w14:textId="2099C469" w:rsidR="00F61DCF" w:rsidRDefault="004F4042" w:rsidP="00E65E90">
      <w:pPr>
        <w:pStyle w:val="ListBullet"/>
        <w:numPr>
          <w:ilvl w:val="0"/>
          <w:numId w:val="20"/>
        </w:numPr>
        <w:spacing w:after="40"/>
      </w:pPr>
      <w:r>
        <w:t>Experience in East Africa or similar operating environments and ability to work effectively with multidisciplinary teams, contractors, and institutional stakeholders.</w:t>
      </w:r>
    </w:p>
    <w:p w14:paraId="406F3164" w14:textId="3DFD4012" w:rsidR="00F61DCF" w:rsidRDefault="004F4042" w:rsidP="00F61DCF">
      <w:pPr>
        <w:pStyle w:val="ListBullet"/>
        <w:numPr>
          <w:ilvl w:val="0"/>
          <w:numId w:val="20"/>
        </w:numPr>
        <w:spacing w:after="40"/>
      </w:pPr>
      <w:r>
        <w:lastRenderedPageBreak/>
        <w:t>Excellent technical report writing and communication skills in English.</w:t>
      </w:r>
    </w:p>
    <w:p w14:paraId="060E09D9" w14:textId="255314D7" w:rsidR="001137F6" w:rsidRDefault="40D8821E" w:rsidP="00F61DCF">
      <w:pPr>
        <w:pStyle w:val="ListBullet"/>
        <w:numPr>
          <w:ilvl w:val="0"/>
          <w:numId w:val="20"/>
        </w:numPr>
        <w:spacing w:after="40"/>
      </w:pPr>
      <w:r>
        <w:t xml:space="preserve">Proof of applicable and in good-standing Professional Indemnity insurance for design and professional responsibilities, </w:t>
      </w:r>
      <w:r w:rsidR="63806D3C">
        <w:t>with a minimum cover of at least 3 x the applicable fees</w:t>
      </w:r>
    </w:p>
    <w:p w14:paraId="7B3E7102" w14:textId="77777777" w:rsidR="00B035C0" w:rsidRDefault="00B035C0" w:rsidP="00F61DCF">
      <w:pPr>
        <w:pStyle w:val="ListBullet"/>
        <w:numPr>
          <w:ilvl w:val="0"/>
          <w:numId w:val="0"/>
        </w:numPr>
        <w:spacing w:after="40"/>
        <w:ind w:left="360"/>
      </w:pPr>
    </w:p>
    <w:p w14:paraId="412B6489" w14:textId="670FAC9C" w:rsidR="004E7D77" w:rsidRDefault="004F4042" w:rsidP="00F61DCF">
      <w:pPr>
        <w:pStyle w:val="ListBullet"/>
        <w:numPr>
          <w:ilvl w:val="0"/>
          <w:numId w:val="10"/>
        </w:numPr>
        <w:spacing w:after="40"/>
      </w:pPr>
      <w:r>
        <w:t>Reporting Arrangements</w:t>
      </w:r>
    </w:p>
    <w:p w14:paraId="6B423C49" w14:textId="77777777" w:rsidR="00502BC3" w:rsidRPr="00502BC3" w:rsidRDefault="00502BC3" w:rsidP="00502BC3">
      <w:pPr>
        <w:pStyle w:val="ListParagraph"/>
      </w:pPr>
    </w:p>
    <w:p w14:paraId="38BCB708" w14:textId="77777777" w:rsidR="004E7D77" w:rsidRDefault="004F4042">
      <w:pPr>
        <w:spacing w:after="120"/>
      </w:pPr>
      <w:r>
        <w:t xml:space="preserve">The OTA shall report administratively and technically to RICA’s designated Project Manager / Director of </w:t>
      </w:r>
      <w:proofErr w:type="gramStart"/>
      <w:r>
        <w:t>Infrastructure</w:t>
      </w:r>
      <w:proofErr w:type="gramEnd"/>
      <w:r>
        <w:t xml:space="preserve"> or another officer appointed by RICA. The OTA shall attend coordination meetings as requested and shall promptly escalate critical technical, safety, schedule, quality, and commercial risks requiring client decisions.</w:t>
      </w:r>
    </w:p>
    <w:p w14:paraId="3AC690E3" w14:textId="5FAD2CA7" w:rsidR="004E7D77" w:rsidRDefault="004F4042" w:rsidP="00502BC3">
      <w:pPr>
        <w:pStyle w:val="Heading1"/>
        <w:numPr>
          <w:ilvl w:val="0"/>
          <w:numId w:val="10"/>
        </w:numPr>
      </w:pPr>
      <w:r>
        <w:t>RICA Inputs and Access</w:t>
      </w:r>
    </w:p>
    <w:p w14:paraId="048439E1" w14:textId="77777777" w:rsidR="00502BC3" w:rsidRPr="00502BC3" w:rsidRDefault="00502BC3" w:rsidP="007E53AF">
      <w:pPr>
        <w:pStyle w:val="ListParagraph"/>
      </w:pPr>
    </w:p>
    <w:p w14:paraId="6EB12C47" w14:textId="77777777" w:rsidR="004E7D77" w:rsidRDefault="004F4042" w:rsidP="007E53AF">
      <w:pPr>
        <w:pStyle w:val="ListBullet"/>
        <w:numPr>
          <w:ilvl w:val="0"/>
          <w:numId w:val="21"/>
        </w:numPr>
        <w:spacing w:after="40"/>
      </w:pPr>
      <w:r>
        <w:t>RICA shall provide available background documents reasonably necessary for the assignment, including existing drawings, technical data, draft RFQ documents, contractor submissions received, and access to relevant site areas, subject to campus and safety procedures.</w:t>
      </w:r>
    </w:p>
    <w:p w14:paraId="1DFC9B81" w14:textId="77777777" w:rsidR="004E7D77" w:rsidRDefault="004F4042" w:rsidP="007E53AF">
      <w:pPr>
        <w:pStyle w:val="ListBullet"/>
        <w:numPr>
          <w:ilvl w:val="0"/>
          <w:numId w:val="21"/>
        </w:numPr>
        <w:spacing w:after="40"/>
      </w:pPr>
      <w:r>
        <w:t>The OTA shall be responsible for all resources needed to execute the assignment, unless expressly stated otherwise in the contract.</w:t>
      </w:r>
    </w:p>
    <w:p w14:paraId="7EE65324" w14:textId="2E6D9F4E" w:rsidR="004E7D77" w:rsidRDefault="004F4042" w:rsidP="00502BC3">
      <w:pPr>
        <w:pStyle w:val="Heading1"/>
        <w:numPr>
          <w:ilvl w:val="0"/>
          <w:numId w:val="10"/>
        </w:numPr>
      </w:pPr>
      <w:r>
        <w:t>Payment Structure</w:t>
      </w:r>
    </w:p>
    <w:p w14:paraId="62CB5AF7" w14:textId="77777777" w:rsidR="00502BC3" w:rsidRPr="00502BC3" w:rsidRDefault="00502BC3" w:rsidP="00502BC3">
      <w:pPr>
        <w:pStyle w:val="ListParagraph"/>
      </w:pPr>
    </w:p>
    <w:p w14:paraId="65107D85" w14:textId="77777777" w:rsidR="004E7D77" w:rsidRDefault="004F4042">
      <w:pPr>
        <w:spacing w:after="80"/>
      </w:pPr>
      <w:r>
        <w:t>The consultant shall propose a lump-sum fee or time-based fee structure with a clear breakdown. RICA may adopt either of the following payment approaches, subject to the final contract:</w:t>
      </w:r>
    </w:p>
    <w:tbl>
      <w:tblPr>
        <w:tblStyle w:val="TableGrid"/>
        <w:tblW w:w="0" w:type="auto"/>
        <w:jc w:val="center"/>
        <w:tblLook w:val="04A0" w:firstRow="1" w:lastRow="0" w:firstColumn="1" w:lastColumn="0" w:noHBand="0" w:noVBand="1"/>
      </w:tblPr>
      <w:tblGrid>
        <w:gridCol w:w="3283"/>
        <w:gridCol w:w="3283"/>
        <w:gridCol w:w="3282"/>
      </w:tblGrid>
      <w:tr w:rsidR="004E7D77" w14:paraId="251AB232" w14:textId="77777777">
        <w:trPr>
          <w:tblHeader/>
          <w:jc w:val="center"/>
        </w:trPr>
        <w:tc>
          <w:tcPr>
            <w:tcW w:w="3286" w:type="dxa"/>
            <w:shd w:val="clear" w:color="auto" w:fill="D9EAF7"/>
            <w:tcMar>
              <w:top w:w="90" w:type="dxa"/>
              <w:left w:w="100" w:type="dxa"/>
              <w:bottom w:w="90" w:type="dxa"/>
              <w:right w:w="100" w:type="dxa"/>
            </w:tcMar>
          </w:tcPr>
          <w:p w14:paraId="44AC3175" w14:textId="77777777" w:rsidR="004E7D77" w:rsidRDefault="004F4042">
            <w:r>
              <w:rPr>
                <w:b/>
              </w:rPr>
              <w:t>Option</w:t>
            </w:r>
          </w:p>
        </w:tc>
        <w:tc>
          <w:tcPr>
            <w:tcW w:w="3286" w:type="dxa"/>
            <w:shd w:val="clear" w:color="auto" w:fill="D9EAF7"/>
            <w:tcMar>
              <w:top w:w="90" w:type="dxa"/>
              <w:left w:w="100" w:type="dxa"/>
              <w:bottom w:w="90" w:type="dxa"/>
              <w:right w:w="100" w:type="dxa"/>
            </w:tcMar>
          </w:tcPr>
          <w:p w14:paraId="1CF21CB0" w14:textId="77777777" w:rsidR="004E7D77" w:rsidRDefault="004F4042">
            <w:r>
              <w:rPr>
                <w:b/>
              </w:rPr>
              <w:t>Milestone</w:t>
            </w:r>
          </w:p>
        </w:tc>
        <w:tc>
          <w:tcPr>
            <w:tcW w:w="3286" w:type="dxa"/>
            <w:shd w:val="clear" w:color="auto" w:fill="D9EAF7"/>
            <w:tcMar>
              <w:top w:w="90" w:type="dxa"/>
              <w:left w:w="100" w:type="dxa"/>
              <w:bottom w:w="90" w:type="dxa"/>
              <w:right w:w="100" w:type="dxa"/>
            </w:tcMar>
          </w:tcPr>
          <w:p w14:paraId="0F4354D9" w14:textId="77777777" w:rsidR="004E7D77" w:rsidRDefault="004F4042">
            <w:r>
              <w:rPr>
                <w:b/>
              </w:rPr>
              <w:t>Payment</w:t>
            </w:r>
          </w:p>
        </w:tc>
      </w:tr>
      <w:tr w:rsidR="004E7D77" w14:paraId="477A4161" w14:textId="77777777">
        <w:trPr>
          <w:jc w:val="center"/>
        </w:trPr>
        <w:tc>
          <w:tcPr>
            <w:tcW w:w="3286" w:type="dxa"/>
            <w:tcMar>
              <w:top w:w="80" w:type="dxa"/>
              <w:left w:w="100" w:type="dxa"/>
              <w:bottom w:w="80" w:type="dxa"/>
              <w:right w:w="100" w:type="dxa"/>
            </w:tcMar>
          </w:tcPr>
          <w:p w14:paraId="0C32E5D5" w14:textId="77777777" w:rsidR="004E7D77" w:rsidRDefault="004F4042">
            <w:r>
              <w:t>A</w:t>
            </w:r>
          </w:p>
        </w:tc>
        <w:tc>
          <w:tcPr>
            <w:tcW w:w="3286" w:type="dxa"/>
            <w:tcMar>
              <w:top w:w="80" w:type="dxa"/>
              <w:left w:w="100" w:type="dxa"/>
              <w:bottom w:w="80" w:type="dxa"/>
              <w:right w:w="100" w:type="dxa"/>
            </w:tcMar>
          </w:tcPr>
          <w:p w14:paraId="17A7E2AA" w14:textId="77777777" w:rsidR="004E7D77" w:rsidRDefault="004F4042">
            <w:r>
              <w:t>Upon approval of Inception Report and Existing System Audit / RFQ Review Report</w:t>
            </w:r>
          </w:p>
        </w:tc>
        <w:tc>
          <w:tcPr>
            <w:tcW w:w="3286" w:type="dxa"/>
            <w:tcMar>
              <w:top w:w="80" w:type="dxa"/>
              <w:left w:w="100" w:type="dxa"/>
              <w:bottom w:w="80" w:type="dxa"/>
              <w:right w:w="100" w:type="dxa"/>
            </w:tcMar>
          </w:tcPr>
          <w:p w14:paraId="1EAF55C6" w14:textId="322375AA" w:rsidR="004E7D77" w:rsidRDefault="00F61DCF">
            <w:r>
              <w:t>1</w:t>
            </w:r>
            <w:r w:rsidR="004F4042">
              <w:t>0%</w:t>
            </w:r>
          </w:p>
        </w:tc>
      </w:tr>
      <w:tr w:rsidR="004E7D77" w14:paraId="0237AB68" w14:textId="77777777">
        <w:trPr>
          <w:jc w:val="center"/>
        </w:trPr>
        <w:tc>
          <w:tcPr>
            <w:tcW w:w="3286" w:type="dxa"/>
            <w:tcMar>
              <w:top w:w="80" w:type="dxa"/>
              <w:left w:w="100" w:type="dxa"/>
              <w:bottom w:w="80" w:type="dxa"/>
              <w:right w:w="100" w:type="dxa"/>
            </w:tcMar>
          </w:tcPr>
          <w:p w14:paraId="382B05C6" w14:textId="77777777" w:rsidR="004E7D77" w:rsidRDefault="004F4042">
            <w:r>
              <w:t>A</w:t>
            </w:r>
          </w:p>
        </w:tc>
        <w:tc>
          <w:tcPr>
            <w:tcW w:w="3286" w:type="dxa"/>
            <w:tcMar>
              <w:top w:w="80" w:type="dxa"/>
              <w:left w:w="100" w:type="dxa"/>
              <w:bottom w:w="80" w:type="dxa"/>
              <w:right w:w="100" w:type="dxa"/>
            </w:tcMar>
          </w:tcPr>
          <w:p w14:paraId="6589471B" w14:textId="77777777" w:rsidR="004E7D77" w:rsidRDefault="004F4042">
            <w:r>
              <w:t>During design review and implementation phase against approved monthly or milestone reports</w:t>
            </w:r>
          </w:p>
        </w:tc>
        <w:tc>
          <w:tcPr>
            <w:tcW w:w="3286" w:type="dxa"/>
            <w:tcMar>
              <w:top w:w="80" w:type="dxa"/>
              <w:left w:w="100" w:type="dxa"/>
              <w:bottom w:w="80" w:type="dxa"/>
              <w:right w:w="100" w:type="dxa"/>
            </w:tcMar>
          </w:tcPr>
          <w:p w14:paraId="5E79D044" w14:textId="1565C40A" w:rsidR="004E7D77" w:rsidRDefault="00F61DCF">
            <w:r>
              <w:t>5</w:t>
            </w:r>
            <w:r w:rsidR="004F4042">
              <w:t>0%</w:t>
            </w:r>
          </w:p>
        </w:tc>
      </w:tr>
      <w:tr w:rsidR="004E7D77" w14:paraId="44972980" w14:textId="77777777">
        <w:trPr>
          <w:jc w:val="center"/>
        </w:trPr>
        <w:tc>
          <w:tcPr>
            <w:tcW w:w="3286" w:type="dxa"/>
            <w:tcMar>
              <w:top w:w="80" w:type="dxa"/>
              <w:left w:w="100" w:type="dxa"/>
              <w:bottom w:w="80" w:type="dxa"/>
              <w:right w:w="100" w:type="dxa"/>
            </w:tcMar>
          </w:tcPr>
          <w:p w14:paraId="2CB75B12" w14:textId="77777777" w:rsidR="004E7D77" w:rsidRDefault="004F4042">
            <w:r>
              <w:t>A</w:t>
            </w:r>
          </w:p>
        </w:tc>
        <w:tc>
          <w:tcPr>
            <w:tcW w:w="3286" w:type="dxa"/>
            <w:tcMar>
              <w:top w:w="80" w:type="dxa"/>
              <w:left w:w="100" w:type="dxa"/>
              <w:bottom w:w="80" w:type="dxa"/>
              <w:right w:w="100" w:type="dxa"/>
            </w:tcMar>
          </w:tcPr>
          <w:p w14:paraId="112D946A" w14:textId="77777777" w:rsidR="004E7D77" w:rsidRDefault="004F4042">
            <w:r>
              <w:t>Upon successful testing and commissioning support</w:t>
            </w:r>
          </w:p>
        </w:tc>
        <w:tc>
          <w:tcPr>
            <w:tcW w:w="3286" w:type="dxa"/>
            <w:tcMar>
              <w:top w:w="80" w:type="dxa"/>
              <w:left w:w="100" w:type="dxa"/>
              <w:bottom w:w="80" w:type="dxa"/>
              <w:right w:w="100" w:type="dxa"/>
            </w:tcMar>
          </w:tcPr>
          <w:p w14:paraId="1CA36CF1" w14:textId="77777777" w:rsidR="004E7D77" w:rsidRDefault="004F4042">
            <w:r>
              <w:t>30%</w:t>
            </w:r>
          </w:p>
        </w:tc>
      </w:tr>
      <w:tr w:rsidR="004E7D77" w14:paraId="09065281" w14:textId="77777777">
        <w:trPr>
          <w:jc w:val="center"/>
        </w:trPr>
        <w:tc>
          <w:tcPr>
            <w:tcW w:w="3286" w:type="dxa"/>
            <w:tcMar>
              <w:top w:w="80" w:type="dxa"/>
              <w:left w:w="100" w:type="dxa"/>
              <w:bottom w:w="80" w:type="dxa"/>
              <w:right w:w="100" w:type="dxa"/>
            </w:tcMar>
          </w:tcPr>
          <w:p w14:paraId="761FE611" w14:textId="77777777" w:rsidR="004E7D77" w:rsidRDefault="004F4042">
            <w:r>
              <w:t>A</w:t>
            </w:r>
          </w:p>
        </w:tc>
        <w:tc>
          <w:tcPr>
            <w:tcW w:w="3286" w:type="dxa"/>
            <w:tcMar>
              <w:top w:w="80" w:type="dxa"/>
              <w:left w:w="100" w:type="dxa"/>
              <w:bottom w:w="80" w:type="dxa"/>
              <w:right w:w="100" w:type="dxa"/>
            </w:tcMar>
          </w:tcPr>
          <w:p w14:paraId="40CA20D2" w14:textId="77777777" w:rsidR="004E7D77" w:rsidRDefault="004F4042">
            <w:r>
              <w:t xml:space="preserve">Upon final handover report and </w:t>
            </w:r>
            <w:proofErr w:type="gramStart"/>
            <w:r>
              <w:t>close-out</w:t>
            </w:r>
            <w:proofErr w:type="gramEnd"/>
            <w:r>
              <w:t xml:space="preserve"> of deliverables</w:t>
            </w:r>
          </w:p>
        </w:tc>
        <w:tc>
          <w:tcPr>
            <w:tcW w:w="3286" w:type="dxa"/>
            <w:tcMar>
              <w:top w:w="80" w:type="dxa"/>
              <w:left w:w="100" w:type="dxa"/>
              <w:bottom w:w="80" w:type="dxa"/>
              <w:right w:w="100" w:type="dxa"/>
            </w:tcMar>
          </w:tcPr>
          <w:p w14:paraId="255A01DD" w14:textId="77777777" w:rsidR="004E7D77" w:rsidRDefault="004F4042">
            <w:r>
              <w:t>10%</w:t>
            </w:r>
          </w:p>
        </w:tc>
      </w:tr>
      <w:tr w:rsidR="004E7D77" w14:paraId="56C23BE8" w14:textId="77777777">
        <w:trPr>
          <w:jc w:val="center"/>
        </w:trPr>
        <w:tc>
          <w:tcPr>
            <w:tcW w:w="3286" w:type="dxa"/>
            <w:tcMar>
              <w:top w:w="80" w:type="dxa"/>
              <w:left w:w="100" w:type="dxa"/>
              <w:bottom w:w="80" w:type="dxa"/>
              <w:right w:w="100" w:type="dxa"/>
            </w:tcMar>
          </w:tcPr>
          <w:p w14:paraId="5297E2D3" w14:textId="77777777" w:rsidR="004E7D77" w:rsidRDefault="004F4042">
            <w:r>
              <w:lastRenderedPageBreak/>
              <w:t>B</w:t>
            </w:r>
          </w:p>
        </w:tc>
        <w:tc>
          <w:tcPr>
            <w:tcW w:w="3286" w:type="dxa"/>
            <w:tcMar>
              <w:top w:w="80" w:type="dxa"/>
              <w:left w:w="100" w:type="dxa"/>
              <w:bottom w:w="80" w:type="dxa"/>
              <w:right w:w="100" w:type="dxa"/>
            </w:tcMar>
          </w:tcPr>
          <w:p w14:paraId="27E588D4" w14:textId="77777777" w:rsidR="004E7D77" w:rsidRDefault="004F4042">
            <w:r>
              <w:t>Monthly payments against approved activity reports and timesheets, at the rate agreed in contract</w:t>
            </w:r>
          </w:p>
        </w:tc>
        <w:tc>
          <w:tcPr>
            <w:tcW w:w="3286" w:type="dxa"/>
            <w:tcMar>
              <w:top w:w="80" w:type="dxa"/>
              <w:left w:w="100" w:type="dxa"/>
              <w:bottom w:w="80" w:type="dxa"/>
              <w:right w:w="100" w:type="dxa"/>
            </w:tcMar>
          </w:tcPr>
          <w:p w14:paraId="2BBEEE21" w14:textId="77777777" w:rsidR="004E7D77" w:rsidRDefault="004F4042">
            <w:r>
              <w:t xml:space="preserve">As </w:t>
            </w:r>
            <w:proofErr w:type="gramStart"/>
            <w:r>
              <w:t>agreed</w:t>
            </w:r>
            <w:proofErr w:type="gramEnd"/>
          </w:p>
        </w:tc>
      </w:tr>
    </w:tbl>
    <w:p w14:paraId="74811DE7" w14:textId="7DA5A3BF" w:rsidR="004E7D77" w:rsidRDefault="004F4042" w:rsidP="00502BC3">
      <w:pPr>
        <w:pStyle w:val="Heading1"/>
        <w:numPr>
          <w:ilvl w:val="0"/>
          <w:numId w:val="10"/>
        </w:numPr>
      </w:pPr>
      <w:r>
        <w:t>Proposal Submission Requirements</w:t>
      </w:r>
    </w:p>
    <w:p w14:paraId="2B447E15" w14:textId="77777777" w:rsidR="00502BC3" w:rsidRPr="00502BC3" w:rsidRDefault="00502BC3" w:rsidP="00502BC3">
      <w:pPr>
        <w:pStyle w:val="ListParagraph"/>
      </w:pPr>
    </w:p>
    <w:p w14:paraId="186512F8" w14:textId="77777777" w:rsidR="004E7D77" w:rsidRDefault="004F4042" w:rsidP="007E53AF">
      <w:pPr>
        <w:pStyle w:val="ListBullet"/>
        <w:numPr>
          <w:ilvl w:val="0"/>
          <w:numId w:val="22"/>
        </w:numPr>
        <w:spacing w:after="40"/>
      </w:pPr>
      <w:r>
        <w:t>Technical proposal describing understanding of the assignment, methodology, work plan, deliverables, and risk-based approach.</w:t>
      </w:r>
    </w:p>
    <w:p w14:paraId="789564DE" w14:textId="77777777" w:rsidR="004E7D77" w:rsidRDefault="004F4042" w:rsidP="007E53AF">
      <w:pPr>
        <w:pStyle w:val="ListBullet"/>
        <w:numPr>
          <w:ilvl w:val="0"/>
          <w:numId w:val="22"/>
        </w:numPr>
        <w:spacing w:after="40"/>
      </w:pPr>
      <w:r>
        <w:t>CV(s) of the proposed consultant / key expert(s), including relevant project references.</w:t>
      </w:r>
    </w:p>
    <w:p w14:paraId="164BA25F" w14:textId="77777777" w:rsidR="004E7D77" w:rsidRDefault="004F4042" w:rsidP="007E53AF">
      <w:pPr>
        <w:pStyle w:val="ListBullet"/>
        <w:numPr>
          <w:ilvl w:val="0"/>
          <w:numId w:val="22"/>
        </w:numPr>
        <w:spacing w:after="40"/>
      </w:pPr>
      <w:r>
        <w:t>Proof of academic and professional qualifications and any required licenses or registrations.</w:t>
      </w:r>
    </w:p>
    <w:p w14:paraId="6EA0C497" w14:textId="77777777" w:rsidR="004E7D77" w:rsidRDefault="004F4042" w:rsidP="007E53AF">
      <w:pPr>
        <w:pStyle w:val="ListBullet"/>
        <w:numPr>
          <w:ilvl w:val="0"/>
          <w:numId w:val="22"/>
        </w:numPr>
        <w:spacing w:after="40"/>
      </w:pPr>
      <w:r>
        <w:t>Financial proposal with a clear breakdown of fees, reimbursables, assumptions, and proposed payment terms.</w:t>
      </w:r>
    </w:p>
    <w:p w14:paraId="28A2C9E5" w14:textId="77777777" w:rsidR="004E7D77" w:rsidRDefault="004F4042" w:rsidP="007E53AF">
      <w:pPr>
        <w:pStyle w:val="ListBullet"/>
        <w:numPr>
          <w:ilvl w:val="0"/>
          <w:numId w:val="22"/>
        </w:numPr>
        <w:spacing w:after="40"/>
      </w:pPr>
      <w:r>
        <w:t>Confirmation of availability for the assignment period.</w:t>
      </w:r>
    </w:p>
    <w:p w14:paraId="0828258B" w14:textId="16837BD9" w:rsidR="004E7D77" w:rsidRDefault="004F4042" w:rsidP="00502BC3">
      <w:pPr>
        <w:pStyle w:val="Heading1"/>
        <w:numPr>
          <w:ilvl w:val="0"/>
          <w:numId w:val="10"/>
        </w:numPr>
      </w:pPr>
      <w:r>
        <w:t>Confidentiality and Independence</w:t>
      </w:r>
    </w:p>
    <w:p w14:paraId="004FF555" w14:textId="77777777" w:rsidR="00502BC3" w:rsidRPr="00502BC3" w:rsidRDefault="00502BC3" w:rsidP="00502BC3">
      <w:pPr>
        <w:pStyle w:val="ListParagraph"/>
      </w:pPr>
    </w:p>
    <w:p w14:paraId="073506B0" w14:textId="77777777" w:rsidR="004E7D77" w:rsidRDefault="004F4042">
      <w:pPr>
        <w:spacing w:after="120"/>
      </w:pPr>
      <w:r>
        <w:t>The OTA shall act independently and in the best interests of RICA</w:t>
      </w:r>
      <w:proofErr w:type="gramStart"/>
      <w:r>
        <w:t>, shall</w:t>
      </w:r>
      <w:proofErr w:type="gramEnd"/>
      <w:r>
        <w:t xml:space="preserve"> maintain confidentiality of all project information, and shall disclose any actual or potential conflicts of interest. The OTA shall not have any undisclosed commercial interest in any bidder, supplier, manufacturer, or contractor involved in the project.</w:t>
      </w:r>
    </w:p>
    <w:p w14:paraId="184E4277" w14:textId="1CB41218" w:rsidR="004E7D77" w:rsidRDefault="004F4042" w:rsidP="00502BC3">
      <w:pPr>
        <w:pStyle w:val="Heading1"/>
        <w:numPr>
          <w:ilvl w:val="0"/>
          <w:numId w:val="10"/>
        </w:numPr>
      </w:pPr>
      <w:r>
        <w:t>Important Notes</w:t>
      </w:r>
    </w:p>
    <w:p w14:paraId="38407ACE" w14:textId="77777777" w:rsidR="00502BC3" w:rsidRPr="00502BC3" w:rsidRDefault="00502BC3" w:rsidP="00502BC3">
      <w:pPr>
        <w:pStyle w:val="ListParagraph"/>
      </w:pPr>
    </w:p>
    <w:p w14:paraId="0D588F5F" w14:textId="77777777" w:rsidR="004E7D77" w:rsidRDefault="004F4042" w:rsidP="00F21F47">
      <w:pPr>
        <w:pStyle w:val="ListBullet"/>
        <w:numPr>
          <w:ilvl w:val="0"/>
          <w:numId w:val="23"/>
        </w:numPr>
        <w:spacing w:after="40"/>
      </w:pPr>
      <w:proofErr w:type="gramStart"/>
      <w:r>
        <w:t>This</w:t>
      </w:r>
      <w:proofErr w:type="gramEnd"/>
      <w:r>
        <w:t xml:space="preserve"> Terms of Reference describes the minimum expected services. RICA reserves the right to refine the final scope during contracting.</w:t>
      </w:r>
    </w:p>
    <w:p w14:paraId="1980F593" w14:textId="77777777" w:rsidR="004E7D77" w:rsidRDefault="004F4042" w:rsidP="00F21F47">
      <w:pPr>
        <w:pStyle w:val="ListBullet"/>
        <w:numPr>
          <w:ilvl w:val="0"/>
          <w:numId w:val="23"/>
        </w:numPr>
        <w:spacing w:after="40"/>
      </w:pPr>
      <w:r>
        <w:t>Approval of a design submission, test result, or payment milestone by the OTA shall not relieve the contractor of its contractual obligations for safety, quality, performance, and completeness.</w:t>
      </w:r>
    </w:p>
    <w:p w14:paraId="0359B583" w14:textId="77777777" w:rsidR="004E7D77" w:rsidRDefault="004F4042" w:rsidP="00F21F47">
      <w:pPr>
        <w:pStyle w:val="ListBullet"/>
        <w:numPr>
          <w:ilvl w:val="0"/>
          <w:numId w:val="23"/>
        </w:numPr>
        <w:spacing w:after="40"/>
      </w:pPr>
      <w:r>
        <w:t>The consultant shall perform the services with due professional care and in accordance with recognized engineering practice.</w:t>
      </w:r>
    </w:p>
    <w:p w14:paraId="4DFFDABF" w14:textId="0C9FF060" w:rsidR="00502BC3" w:rsidRDefault="004F4042" w:rsidP="00502BC3">
      <w:pPr>
        <w:pStyle w:val="Heading2"/>
      </w:pPr>
      <w:r>
        <w:t>Integration with Existing System</w:t>
      </w:r>
    </w:p>
    <w:p w14:paraId="05A2ABC3" w14:textId="77777777" w:rsidR="00502BC3" w:rsidRPr="00502BC3" w:rsidRDefault="00502BC3" w:rsidP="00502BC3"/>
    <w:p w14:paraId="4B058319" w14:textId="77777777" w:rsidR="00502BC3" w:rsidRDefault="004F4042">
      <w:r>
        <w:t xml:space="preserve">The consultant shall ensure full technical and operational integration of the new Battery Energy Storage System (BESS) with the existing RICA microgrid infrastructure. </w:t>
      </w:r>
    </w:p>
    <w:p w14:paraId="1F6764AA" w14:textId="77777777" w:rsidR="00502BC3" w:rsidRPr="00502BC3" w:rsidRDefault="004F4042">
      <w:pPr>
        <w:rPr>
          <w:b/>
          <w:bCs/>
        </w:rPr>
      </w:pPr>
      <w:r w:rsidRPr="00502BC3">
        <w:rPr>
          <w:b/>
          <w:bCs/>
        </w:rPr>
        <w:lastRenderedPageBreak/>
        <w:t>This includes:</w:t>
      </w:r>
    </w:p>
    <w:p w14:paraId="0D59C9CF" w14:textId="77777777" w:rsidR="00502BC3" w:rsidRDefault="004F4042" w:rsidP="00502BC3">
      <w:pPr>
        <w:pStyle w:val="ListParagraph"/>
        <w:numPr>
          <w:ilvl w:val="0"/>
          <w:numId w:val="11"/>
        </w:numPr>
      </w:pPr>
      <w:r>
        <w:t>Compatibility with existing PV systems, diesel generators, and SCADA platform.</w:t>
      </w:r>
    </w:p>
    <w:p w14:paraId="76E2966E" w14:textId="77777777" w:rsidR="00502BC3" w:rsidRDefault="004F4042" w:rsidP="00502BC3">
      <w:pPr>
        <w:pStyle w:val="ListParagraph"/>
        <w:numPr>
          <w:ilvl w:val="0"/>
          <w:numId w:val="11"/>
        </w:numPr>
      </w:pPr>
      <w:r>
        <w:t>Review and validation of system architecture, including AC and DC coupling strategies.</w:t>
      </w:r>
    </w:p>
    <w:p w14:paraId="633875AC" w14:textId="08073A0E" w:rsidR="00502BC3" w:rsidRDefault="004F4042" w:rsidP="00502BC3">
      <w:pPr>
        <w:pStyle w:val="ListParagraph"/>
        <w:numPr>
          <w:ilvl w:val="0"/>
          <w:numId w:val="11"/>
        </w:numPr>
      </w:pPr>
      <w:r>
        <w:t xml:space="preserve"> Ensuring seamless interoperability between the new EMS and existing control systems.</w:t>
      </w:r>
    </w:p>
    <w:p w14:paraId="33C4883B" w14:textId="77777777" w:rsidR="00502BC3" w:rsidRDefault="004F4042" w:rsidP="00502BC3">
      <w:pPr>
        <w:pStyle w:val="ListParagraph"/>
        <w:numPr>
          <w:ilvl w:val="0"/>
          <w:numId w:val="11"/>
        </w:numPr>
      </w:pPr>
      <w:r>
        <w:t>Verification of protection coordination, synchronization, and load management strategies.</w:t>
      </w:r>
    </w:p>
    <w:p w14:paraId="093FFAE9" w14:textId="77777777" w:rsidR="00502BC3" w:rsidRDefault="004F4042" w:rsidP="00502BC3">
      <w:pPr>
        <w:pStyle w:val="ListParagraph"/>
        <w:numPr>
          <w:ilvl w:val="0"/>
          <w:numId w:val="11"/>
        </w:numPr>
      </w:pPr>
      <w:r>
        <w:t xml:space="preserve"> Oversight of integration testing to ensure stable operation under all scenarios (PV priority, battery dispatch, generator backup).</w:t>
      </w:r>
    </w:p>
    <w:p w14:paraId="328E16E9" w14:textId="77777777" w:rsidR="00502BC3" w:rsidRDefault="004F4042" w:rsidP="00502BC3">
      <w:pPr>
        <w:pStyle w:val="ListParagraph"/>
        <w:numPr>
          <w:ilvl w:val="0"/>
          <w:numId w:val="11"/>
        </w:numPr>
      </w:pPr>
      <w:r>
        <w:t xml:space="preserve"> Identification and mitigation of risks related to system mismatch, control conflicts, or performance degradation</w:t>
      </w:r>
    </w:p>
    <w:p w14:paraId="2B7C04D4" w14:textId="1D1465B2" w:rsidR="004E7D77" w:rsidRDefault="004F4042" w:rsidP="00502BC3">
      <w:pPr>
        <w:pStyle w:val="ListParagraph"/>
        <w:numPr>
          <w:ilvl w:val="0"/>
          <w:numId w:val="11"/>
        </w:numPr>
      </w:pPr>
      <w:r>
        <w:t>Ensuring no disruption to ongoing campus operations during integration and commissioning phases.</w:t>
      </w:r>
    </w:p>
    <w:sectPr w:rsidR="004E7D77" w:rsidSect="00034616">
      <w:headerReference w:type="default" r:id="rId8"/>
      <w:footerReference w:type="default" r:id="rId9"/>
      <w:pgSz w:w="12240" w:h="15840"/>
      <w:pgMar w:top="1134" w:right="1191" w:bottom="1020" w:left="11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BE5C7" w14:textId="77777777" w:rsidR="007412B3" w:rsidRDefault="007412B3" w:rsidP="00BB680A">
      <w:pPr>
        <w:spacing w:after="0" w:line="240" w:lineRule="auto"/>
      </w:pPr>
      <w:r>
        <w:separator/>
      </w:r>
    </w:p>
  </w:endnote>
  <w:endnote w:type="continuationSeparator" w:id="0">
    <w:p w14:paraId="19F5CB57" w14:textId="77777777" w:rsidR="007412B3" w:rsidRDefault="007412B3" w:rsidP="00BB6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venir Next Rounded Pro">
    <w:altName w:val="Calibri"/>
    <w:panose1 w:val="00000000000000000000"/>
    <w:charset w:val="4D"/>
    <w:family w:val="swiss"/>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39A5" w14:textId="77777777" w:rsidR="00BB680A" w:rsidRPr="00FD3B83" w:rsidRDefault="00BB680A" w:rsidP="00BB680A">
    <w:pPr>
      <w:tabs>
        <w:tab w:val="center" w:pos="4680"/>
        <w:tab w:val="right" w:pos="9360"/>
      </w:tabs>
      <w:spacing w:after="0" w:line="240" w:lineRule="auto"/>
      <w:jc w:val="center"/>
      <w:rPr>
        <w:rFonts w:ascii="Avenir Next Rounded Pro" w:hAnsi="Avenir Next Rounded Pro" w:cs="Aptos"/>
        <w:b/>
        <w:color w:val="1F8375"/>
        <w:sz w:val="18"/>
        <w:szCs w:val="18"/>
      </w:rPr>
    </w:pPr>
    <w:r w:rsidRPr="00FD3B83">
      <w:rPr>
        <w:rFonts w:ascii="Avenir Next Rounded Pro" w:hAnsi="Avenir Next Rounded Pro" w:cs="Aptos"/>
        <w:b/>
        <w:color w:val="1F8375"/>
        <w:sz w:val="18"/>
        <w:szCs w:val="18"/>
      </w:rPr>
      <w:t>The Rwanda Institute for Conservation Agriculture – Educating a New Generation of Innovators in Agriculture</w:t>
    </w:r>
  </w:p>
  <w:p w14:paraId="0F9C3024" w14:textId="77777777" w:rsidR="00BB680A" w:rsidRPr="00FD3B83" w:rsidRDefault="00BB680A">
    <w:pPr>
      <w:pStyle w:val="Footer"/>
      <w:rPr>
        <w:color w:val="1F837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B3832" w14:textId="77777777" w:rsidR="007412B3" w:rsidRDefault="007412B3" w:rsidP="00BB680A">
      <w:pPr>
        <w:spacing w:after="0" w:line="240" w:lineRule="auto"/>
      </w:pPr>
      <w:r>
        <w:separator/>
      </w:r>
    </w:p>
  </w:footnote>
  <w:footnote w:type="continuationSeparator" w:id="0">
    <w:p w14:paraId="20EB2F7B" w14:textId="77777777" w:rsidR="007412B3" w:rsidRDefault="007412B3" w:rsidP="00BB6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84C7" w14:textId="77777777" w:rsidR="00BB680A" w:rsidRPr="001A1464" w:rsidRDefault="00BB680A" w:rsidP="0C0FA435">
    <w:pPr>
      <w:tabs>
        <w:tab w:val="right" w:pos="9634"/>
      </w:tabs>
      <w:spacing w:line="240" w:lineRule="auto"/>
      <w:ind w:right="21"/>
      <w:contextualSpacing/>
      <w:jc w:val="right"/>
      <w:rPr>
        <w:rFonts w:ascii="Avenir Next Rounded Pro" w:hAnsi="Avenir Next Rounded Pro"/>
        <w:b/>
        <w:bCs/>
        <w:sz w:val="20"/>
        <w:szCs w:val="20"/>
        <w:lang w:bidi="en-US"/>
      </w:rPr>
    </w:pPr>
    <w:r w:rsidRPr="001A1464">
      <w:rPr>
        <w:rFonts w:ascii="Avenir Next Rounded Pro" w:hAnsi="Avenir Next Rounded Pro"/>
        <w:noProof/>
        <w:sz w:val="20"/>
        <w:szCs w:val="20"/>
        <w:lang w:bidi="en-US"/>
      </w:rPr>
      <w:drawing>
        <wp:anchor distT="0" distB="0" distL="114300" distR="114300" simplePos="0" relativeHeight="251658240" behindDoc="0" locked="0" layoutInCell="1" allowOverlap="1" wp14:anchorId="72B3B176" wp14:editId="690FD627">
          <wp:simplePos x="0" y="0"/>
          <wp:positionH relativeFrom="margin">
            <wp:posOffset>-66675</wp:posOffset>
          </wp:positionH>
          <wp:positionV relativeFrom="margin">
            <wp:posOffset>-1207770</wp:posOffset>
          </wp:positionV>
          <wp:extent cx="2289175" cy="907415"/>
          <wp:effectExtent l="0" t="0" r="0" b="0"/>
          <wp:wrapSquare wrapText="bothSides"/>
          <wp:docPr id="16328308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82447" name="Picture 595282447"/>
                  <pic:cNvPicPr/>
                </pic:nvPicPr>
                <pic:blipFill rotWithShape="1">
                  <a:blip r:embed="rId1">
                    <a:extLst>
                      <a:ext uri="{28A0092B-C50C-407E-A947-70E740481C1C}">
                        <a14:useLocalDpi xmlns:a14="http://schemas.microsoft.com/office/drawing/2010/main" val="0"/>
                      </a:ext>
                    </a:extLst>
                  </a:blip>
                  <a:srcRect l="10008" t="13340" r="10188" b="8628"/>
                  <a:stretch/>
                </pic:blipFill>
                <pic:spPr bwMode="auto">
                  <a:xfrm>
                    <a:off x="0" y="0"/>
                    <a:ext cx="2289175" cy="907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C0FA435" w:rsidRPr="001A1464">
      <w:rPr>
        <w:rFonts w:ascii="Avenir Next Rounded Pro" w:hAnsi="Avenir Next Rounded Pro"/>
        <w:b/>
        <w:bCs/>
        <w:sz w:val="20"/>
        <w:szCs w:val="20"/>
        <w:lang w:bidi="en-US"/>
      </w:rPr>
      <w:t xml:space="preserve">The Rwanda </w:t>
    </w:r>
    <w:r w:rsidR="0C0FA435" w:rsidRPr="001A1464">
      <w:rPr>
        <w:b/>
        <w:bCs/>
        <w:sz w:val="20"/>
        <w:szCs w:val="20"/>
        <w:lang w:bidi="en-US"/>
      </w:rPr>
      <w:t>Institute</w:t>
    </w:r>
    <w:r w:rsidR="0C0FA435" w:rsidRPr="001A1464">
      <w:rPr>
        <w:rFonts w:ascii="Avenir Next Rounded Pro" w:hAnsi="Avenir Next Rounded Pro"/>
        <w:b/>
        <w:bCs/>
        <w:sz w:val="20"/>
        <w:szCs w:val="20"/>
        <w:lang w:bidi="en-US"/>
      </w:rPr>
      <w:t xml:space="preserve"> for </w:t>
    </w:r>
    <w:bookmarkStart w:id="0" w:name="_Int_nnDocpon"/>
    <w:proofErr w:type="gramStart"/>
    <w:r w:rsidR="0C0FA435" w:rsidRPr="001A1464">
      <w:rPr>
        <w:rFonts w:ascii="Avenir Next Rounded Pro" w:hAnsi="Avenir Next Rounded Pro"/>
        <w:b/>
        <w:bCs/>
        <w:sz w:val="20"/>
        <w:szCs w:val="20"/>
        <w:lang w:bidi="en-US"/>
      </w:rPr>
      <w:t>Conservation  Agriculture</w:t>
    </w:r>
    <w:bookmarkEnd w:id="0"/>
    <w:proofErr w:type="gramEnd"/>
  </w:p>
  <w:p w14:paraId="140BB5DD" w14:textId="77777777" w:rsidR="00BB680A" w:rsidRPr="001A1464" w:rsidRDefault="00BB680A" w:rsidP="00BB680A">
    <w:pPr>
      <w:tabs>
        <w:tab w:val="right" w:pos="9634"/>
      </w:tabs>
      <w:spacing w:line="240" w:lineRule="auto"/>
      <w:ind w:right="21"/>
      <w:contextualSpacing/>
      <w:jc w:val="right"/>
      <w:rPr>
        <w:rFonts w:ascii="Avenir Next Rounded Pro" w:hAnsi="Avenir Next Rounded Pro"/>
        <w:sz w:val="20"/>
        <w:szCs w:val="20"/>
        <w:lang w:bidi="en-US"/>
      </w:rPr>
    </w:pPr>
    <w:proofErr w:type="spellStart"/>
    <w:r w:rsidRPr="001A1464">
      <w:rPr>
        <w:rFonts w:ascii="Avenir Next Rounded Pro" w:hAnsi="Avenir Next Rounded Pro"/>
        <w:sz w:val="20"/>
        <w:szCs w:val="20"/>
        <w:lang w:bidi="en-US"/>
      </w:rPr>
      <w:t>Kagasa-Rweru</w:t>
    </w:r>
    <w:proofErr w:type="spellEnd"/>
    <w:r w:rsidRPr="001A1464">
      <w:rPr>
        <w:rFonts w:ascii="Avenir Next Rounded Pro" w:hAnsi="Avenir Next Rounded Pro"/>
        <w:sz w:val="20"/>
        <w:szCs w:val="20"/>
        <w:lang w:bidi="en-US"/>
      </w:rPr>
      <w:t xml:space="preserve"> Rd, off RN 15</w:t>
    </w:r>
  </w:p>
  <w:p w14:paraId="204CA485" w14:textId="77777777" w:rsidR="00BB680A" w:rsidRPr="001A1464" w:rsidRDefault="00BB680A" w:rsidP="00BB680A">
    <w:pPr>
      <w:tabs>
        <w:tab w:val="right" w:pos="9634"/>
      </w:tabs>
      <w:spacing w:line="240" w:lineRule="auto"/>
      <w:ind w:right="21"/>
      <w:contextualSpacing/>
      <w:jc w:val="right"/>
      <w:rPr>
        <w:rFonts w:ascii="Avenir Next Rounded Pro" w:hAnsi="Avenir Next Rounded Pro"/>
        <w:sz w:val="20"/>
        <w:szCs w:val="20"/>
        <w:lang w:val="sv-SE" w:bidi="en-US"/>
      </w:rPr>
    </w:pPr>
    <w:r w:rsidRPr="001A1464">
      <w:rPr>
        <w:rFonts w:ascii="Avenir Next Rounded Pro" w:hAnsi="Avenir Next Rounded Pro"/>
        <w:sz w:val="20"/>
        <w:szCs w:val="20"/>
        <w:lang w:val="sv-SE" w:bidi="en-US"/>
      </w:rPr>
      <w:t>P.O. Box 007 Nyamata</w:t>
    </w:r>
  </w:p>
  <w:p w14:paraId="375055DD" w14:textId="77777777" w:rsidR="00BB680A" w:rsidRPr="001A1464" w:rsidRDefault="00BB680A" w:rsidP="00BB680A">
    <w:pPr>
      <w:tabs>
        <w:tab w:val="right" w:pos="9634"/>
      </w:tabs>
      <w:spacing w:line="240" w:lineRule="auto"/>
      <w:ind w:right="21"/>
      <w:contextualSpacing/>
      <w:jc w:val="right"/>
      <w:rPr>
        <w:rFonts w:ascii="Avenir Next Rounded Pro" w:hAnsi="Avenir Next Rounded Pro"/>
        <w:sz w:val="20"/>
        <w:szCs w:val="20"/>
        <w:lang w:val="sv-SE" w:bidi="en-US"/>
      </w:rPr>
    </w:pPr>
    <w:r w:rsidRPr="001A1464">
      <w:rPr>
        <w:rFonts w:ascii="Avenir Next Rounded Pro" w:hAnsi="Avenir Next Rounded Pro"/>
        <w:sz w:val="20"/>
        <w:szCs w:val="20"/>
        <w:lang w:val="sv-SE" w:bidi="en-US"/>
      </w:rPr>
      <w:t xml:space="preserve">                               Bugesera, Rwanda</w:t>
    </w:r>
  </w:p>
  <w:p w14:paraId="5AF88AE8" w14:textId="77777777" w:rsidR="0075454C" w:rsidRDefault="00BB680A" w:rsidP="0075454C">
    <w:pPr>
      <w:tabs>
        <w:tab w:val="right" w:pos="9634"/>
      </w:tabs>
      <w:spacing w:line="240" w:lineRule="auto"/>
      <w:ind w:right="21"/>
      <w:contextualSpacing/>
      <w:jc w:val="right"/>
      <w:rPr>
        <w:rFonts w:ascii="Avenir Next Rounded Pro" w:hAnsi="Avenir Next Rounded Pro"/>
        <w:b/>
        <w:bCs/>
        <w:color w:val="509877"/>
        <w:sz w:val="20"/>
        <w:szCs w:val="20"/>
        <w:lang w:val="sv-SE" w:bidi="en-US"/>
      </w:rPr>
    </w:pPr>
    <w:r w:rsidRPr="001A1464">
      <w:rPr>
        <w:rFonts w:ascii="Avenir Next Rounded Pro" w:hAnsi="Avenir Next Rounded Pro"/>
        <w:b/>
        <w:bCs/>
        <w:color w:val="509877"/>
        <w:sz w:val="20"/>
        <w:szCs w:val="20"/>
        <w:lang w:val="sv-SE" w:bidi="en-US"/>
      </w:rPr>
      <w:t>www.rica.rw</w:t>
    </w:r>
  </w:p>
  <w:p w14:paraId="6F5C4579" w14:textId="77777777" w:rsidR="0075454C" w:rsidRDefault="0075454C" w:rsidP="0075454C">
    <w:pPr>
      <w:tabs>
        <w:tab w:val="right" w:pos="9634"/>
      </w:tabs>
      <w:spacing w:line="240" w:lineRule="auto"/>
      <w:ind w:right="21"/>
      <w:contextualSpacing/>
      <w:jc w:val="right"/>
      <w:rPr>
        <w:rFonts w:ascii="Avenir Next Rounded Pro" w:hAnsi="Avenir Next Rounded Pro"/>
        <w:b/>
        <w:bCs/>
        <w:color w:val="509877"/>
        <w:sz w:val="20"/>
        <w:szCs w:val="20"/>
        <w:lang w:val="sv-SE" w:bidi="en-US"/>
      </w:rPr>
    </w:pPr>
  </w:p>
  <w:p w14:paraId="1ADB13E9" w14:textId="200AD776" w:rsidR="00BB680A" w:rsidRPr="000C3DC4" w:rsidRDefault="00BB680A" w:rsidP="00447C48">
    <w:pPr>
      <w:tabs>
        <w:tab w:val="right" w:pos="9634"/>
      </w:tabs>
      <w:spacing w:line="240" w:lineRule="auto"/>
      <w:ind w:right="21"/>
      <w:contextualSpacing/>
      <w:jc w:val="center"/>
      <w:rPr>
        <w:rFonts w:ascii="Avenir Next Rounded Pro" w:hAnsi="Avenir Next Rounded Pro"/>
        <w:b/>
        <w:bCs/>
        <w:color w:val="509877"/>
        <w:sz w:val="20"/>
        <w:szCs w:val="20"/>
        <w:lang w:val="sv-SE" w:bidi="en-US"/>
      </w:rPr>
    </w:pPr>
    <w:r w:rsidRPr="000C3DC4">
      <w:rPr>
        <w:rFonts w:ascii="Avenir Next Rounded Pro" w:hAnsi="Avenir Next Rounded Pro"/>
        <w:b/>
        <w:bCs/>
        <w:color w:val="509877"/>
        <w:sz w:val="20"/>
        <w:szCs w:val="20"/>
        <w:lang w:val="sv-SE" w:bidi="en-US"/>
      </w:rPr>
      <w:t>“Positioning RICA for Conservation Agriculture Leadership”</w:t>
    </w:r>
  </w:p>
</w:hdr>
</file>

<file path=word/intelligence2.xml><?xml version="1.0" encoding="utf-8"?>
<int2:intelligence xmlns:int2="http://schemas.microsoft.com/office/intelligence/2020/intelligence" xmlns:oel="http://schemas.microsoft.com/office/2019/extlst">
  <int2:observations>
    <int2:bookmark int2:bookmarkName="_Int_nnDocpon" int2:invalidationBookmarkName="" int2:hashCode="fzt68UHxmSRTr9" int2:id="zB7n9wA8">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D86F0A"/>
    <w:multiLevelType w:val="hybridMultilevel"/>
    <w:tmpl w:val="51C2E86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7F025E6"/>
    <w:multiLevelType w:val="hybridMultilevel"/>
    <w:tmpl w:val="1FA2E8B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367C51"/>
    <w:multiLevelType w:val="hybridMultilevel"/>
    <w:tmpl w:val="EE0E502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7C6B68"/>
    <w:multiLevelType w:val="hybridMultilevel"/>
    <w:tmpl w:val="A35458A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0C64BA"/>
    <w:multiLevelType w:val="hybridMultilevel"/>
    <w:tmpl w:val="10D4F50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026767"/>
    <w:multiLevelType w:val="hybridMultilevel"/>
    <w:tmpl w:val="52FAD9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2B65BF"/>
    <w:multiLevelType w:val="hybridMultilevel"/>
    <w:tmpl w:val="15B2978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70219F"/>
    <w:multiLevelType w:val="hybridMultilevel"/>
    <w:tmpl w:val="0C50BCE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91107E"/>
    <w:multiLevelType w:val="multilevel"/>
    <w:tmpl w:val="DB8E97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62B1C31"/>
    <w:multiLevelType w:val="hybridMultilevel"/>
    <w:tmpl w:val="9028F19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203A7A"/>
    <w:multiLevelType w:val="hybridMultilevel"/>
    <w:tmpl w:val="1062D84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C037C2"/>
    <w:multiLevelType w:val="hybridMultilevel"/>
    <w:tmpl w:val="BB2C3D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232CB0"/>
    <w:multiLevelType w:val="hybridMultilevel"/>
    <w:tmpl w:val="181AEE8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82A4839"/>
    <w:multiLevelType w:val="hybridMultilevel"/>
    <w:tmpl w:val="D44C01A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05577657">
    <w:abstractNumId w:val="8"/>
  </w:num>
  <w:num w:numId="2" w16cid:durableId="380977406">
    <w:abstractNumId w:val="6"/>
  </w:num>
  <w:num w:numId="3" w16cid:durableId="433599797">
    <w:abstractNumId w:val="5"/>
  </w:num>
  <w:num w:numId="4" w16cid:durableId="98768651">
    <w:abstractNumId w:val="4"/>
  </w:num>
  <w:num w:numId="5" w16cid:durableId="1746611329">
    <w:abstractNumId w:val="7"/>
  </w:num>
  <w:num w:numId="6" w16cid:durableId="2024088505">
    <w:abstractNumId w:val="3"/>
  </w:num>
  <w:num w:numId="7" w16cid:durableId="815757692">
    <w:abstractNumId w:val="2"/>
  </w:num>
  <w:num w:numId="8" w16cid:durableId="1781220059">
    <w:abstractNumId w:val="1"/>
  </w:num>
  <w:num w:numId="9" w16cid:durableId="1258444836">
    <w:abstractNumId w:val="0"/>
  </w:num>
  <w:num w:numId="10" w16cid:durableId="748191203">
    <w:abstractNumId w:val="17"/>
  </w:num>
  <w:num w:numId="11" w16cid:durableId="1688870882">
    <w:abstractNumId w:val="20"/>
  </w:num>
  <w:num w:numId="12" w16cid:durableId="1286497457">
    <w:abstractNumId w:val="11"/>
  </w:num>
  <w:num w:numId="13" w16cid:durableId="349844583">
    <w:abstractNumId w:val="9"/>
  </w:num>
  <w:num w:numId="14" w16cid:durableId="2070953489">
    <w:abstractNumId w:val="19"/>
  </w:num>
  <w:num w:numId="15" w16cid:durableId="1778401545">
    <w:abstractNumId w:val="16"/>
  </w:num>
  <w:num w:numId="16" w16cid:durableId="11929203">
    <w:abstractNumId w:val="12"/>
  </w:num>
  <w:num w:numId="17" w16cid:durableId="918175691">
    <w:abstractNumId w:val="10"/>
  </w:num>
  <w:num w:numId="18" w16cid:durableId="127401995">
    <w:abstractNumId w:val="18"/>
  </w:num>
  <w:num w:numId="19" w16cid:durableId="195894345">
    <w:abstractNumId w:val="21"/>
  </w:num>
  <w:num w:numId="20" w16cid:durableId="2092697241">
    <w:abstractNumId w:val="15"/>
  </w:num>
  <w:num w:numId="21" w16cid:durableId="1678920473">
    <w:abstractNumId w:val="14"/>
  </w:num>
  <w:num w:numId="22" w16cid:durableId="1357922310">
    <w:abstractNumId w:val="22"/>
  </w:num>
  <w:num w:numId="23" w16cid:durableId="10637961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08F"/>
    <w:rsid w:val="0000417D"/>
    <w:rsid w:val="000332C9"/>
    <w:rsid w:val="00034616"/>
    <w:rsid w:val="0006063C"/>
    <w:rsid w:val="000832D7"/>
    <w:rsid w:val="000901D5"/>
    <w:rsid w:val="00096429"/>
    <w:rsid w:val="000C00B1"/>
    <w:rsid w:val="000C3DC4"/>
    <w:rsid w:val="000E0923"/>
    <w:rsid w:val="001137F6"/>
    <w:rsid w:val="0015074B"/>
    <w:rsid w:val="00164B31"/>
    <w:rsid w:val="001816A5"/>
    <w:rsid w:val="001D4FF0"/>
    <w:rsid w:val="00245299"/>
    <w:rsid w:val="00265CC0"/>
    <w:rsid w:val="0029639D"/>
    <w:rsid w:val="002A1BF2"/>
    <w:rsid w:val="002C04F8"/>
    <w:rsid w:val="002C6714"/>
    <w:rsid w:val="003123CD"/>
    <w:rsid w:val="00326F90"/>
    <w:rsid w:val="003867D3"/>
    <w:rsid w:val="003C6CD3"/>
    <w:rsid w:val="003F49BA"/>
    <w:rsid w:val="004029BC"/>
    <w:rsid w:val="004333DD"/>
    <w:rsid w:val="00447C48"/>
    <w:rsid w:val="00476F16"/>
    <w:rsid w:val="004B228D"/>
    <w:rsid w:val="004E19AF"/>
    <w:rsid w:val="004E7D77"/>
    <w:rsid w:val="004F4042"/>
    <w:rsid w:val="004F50A3"/>
    <w:rsid w:val="004F7F92"/>
    <w:rsid w:val="00502BC3"/>
    <w:rsid w:val="0050498E"/>
    <w:rsid w:val="00526427"/>
    <w:rsid w:val="00526CD2"/>
    <w:rsid w:val="005A628F"/>
    <w:rsid w:val="005C3AA2"/>
    <w:rsid w:val="00675BD1"/>
    <w:rsid w:val="00680C22"/>
    <w:rsid w:val="006861E8"/>
    <w:rsid w:val="006C57D3"/>
    <w:rsid w:val="00717DC2"/>
    <w:rsid w:val="007204C6"/>
    <w:rsid w:val="007412B3"/>
    <w:rsid w:val="0075454C"/>
    <w:rsid w:val="007A0562"/>
    <w:rsid w:val="007E53AF"/>
    <w:rsid w:val="007E5F3F"/>
    <w:rsid w:val="007F5A0E"/>
    <w:rsid w:val="008833B7"/>
    <w:rsid w:val="00894F53"/>
    <w:rsid w:val="008D1080"/>
    <w:rsid w:val="00910BF7"/>
    <w:rsid w:val="00994B5E"/>
    <w:rsid w:val="00A140D2"/>
    <w:rsid w:val="00A47162"/>
    <w:rsid w:val="00A76293"/>
    <w:rsid w:val="00AA1D8D"/>
    <w:rsid w:val="00B035C0"/>
    <w:rsid w:val="00B47730"/>
    <w:rsid w:val="00B565AE"/>
    <w:rsid w:val="00B80495"/>
    <w:rsid w:val="00B87564"/>
    <w:rsid w:val="00B957A6"/>
    <w:rsid w:val="00BB680A"/>
    <w:rsid w:val="00BD2FFD"/>
    <w:rsid w:val="00BD3A5A"/>
    <w:rsid w:val="00BD57C0"/>
    <w:rsid w:val="00C132A5"/>
    <w:rsid w:val="00C474A9"/>
    <w:rsid w:val="00C83887"/>
    <w:rsid w:val="00CB0664"/>
    <w:rsid w:val="00CB26C0"/>
    <w:rsid w:val="00CD2D80"/>
    <w:rsid w:val="00CF7218"/>
    <w:rsid w:val="00D15BC4"/>
    <w:rsid w:val="00D501C9"/>
    <w:rsid w:val="00D80272"/>
    <w:rsid w:val="00D83CE7"/>
    <w:rsid w:val="00D87595"/>
    <w:rsid w:val="00E17C55"/>
    <w:rsid w:val="00E65E90"/>
    <w:rsid w:val="00E71C43"/>
    <w:rsid w:val="00E775CC"/>
    <w:rsid w:val="00E77960"/>
    <w:rsid w:val="00EC0B84"/>
    <w:rsid w:val="00ED64A0"/>
    <w:rsid w:val="00EF2CFE"/>
    <w:rsid w:val="00F21F47"/>
    <w:rsid w:val="00F60D33"/>
    <w:rsid w:val="00F61DCF"/>
    <w:rsid w:val="00F7664A"/>
    <w:rsid w:val="00FC693F"/>
    <w:rsid w:val="00FD2159"/>
    <w:rsid w:val="00FD3B83"/>
    <w:rsid w:val="00FF5FFB"/>
    <w:rsid w:val="010F5913"/>
    <w:rsid w:val="02261586"/>
    <w:rsid w:val="0C0FA435"/>
    <w:rsid w:val="120D0747"/>
    <w:rsid w:val="1478CAFD"/>
    <w:rsid w:val="16153F44"/>
    <w:rsid w:val="1B1231B1"/>
    <w:rsid w:val="1D02D63F"/>
    <w:rsid w:val="1E38B3FB"/>
    <w:rsid w:val="20486903"/>
    <w:rsid w:val="2218A28B"/>
    <w:rsid w:val="2273F537"/>
    <w:rsid w:val="23354676"/>
    <w:rsid w:val="2415497E"/>
    <w:rsid w:val="25E33B35"/>
    <w:rsid w:val="2A57104B"/>
    <w:rsid w:val="3192942D"/>
    <w:rsid w:val="3C65E2E2"/>
    <w:rsid w:val="405C44D2"/>
    <w:rsid w:val="40D8821E"/>
    <w:rsid w:val="47A61D44"/>
    <w:rsid w:val="4C579AA0"/>
    <w:rsid w:val="50D24761"/>
    <w:rsid w:val="51ED5237"/>
    <w:rsid w:val="5265637A"/>
    <w:rsid w:val="5273B6D1"/>
    <w:rsid w:val="5449F87A"/>
    <w:rsid w:val="557CD6BA"/>
    <w:rsid w:val="5713BBF3"/>
    <w:rsid w:val="58424BE1"/>
    <w:rsid w:val="5C175CA0"/>
    <w:rsid w:val="5D80483C"/>
    <w:rsid w:val="61F49429"/>
    <w:rsid w:val="6367A5C7"/>
    <w:rsid w:val="63806D3C"/>
    <w:rsid w:val="641F90C6"/>
    <w:rsid w:val="689CD5E5"/>
    <w:rsid w:val="69BB15C8"/>
    <w:rsid w:val="75AC1026"/>
    <w:rsid w:val="766EA7C5"/>
    <w:rsid w:val="7D506825"/>
    <w:rsid w:val="7F83F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3E6416"/>
  <w14:defaultImageDpi w14:val="300"/>
  <w15:docId w15:val="{481F4012-D162-4F23-A3A8-A052926A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8"/>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2F2F2F"/>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8"/>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245299"/>
    <w:pPr>
      <w:spacing w:after="0" w:line="240" w:lineRule="auto"/>
    </w:pPr>
    <w:rPr>
      <w:rFonts w:ascii="Calibri" w:eastAsia="Calibri" w:hAnsi="Calibri"/>
      <w:sz w:val="21"/>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2159"/>
    <w:rPr>
      <w:b/>
      <w:bCs/>
    </w:rPr>
  </w:style>
  <w:style w:type="character" w:customStyle="1" w:styleId="CommentSubjectChar">
    <w:name w:val="Comment Subject Char"/>
    <w:basedOn w:val="CommentTextChar"/>
    <w:link w:val="CommentSubject"/>
    <w:uiPriority w:val="99"/>
    <w:semiHidden/>
    <w:rsid w:val="00FD2159"/>
    <w:rPr>
      <w:rFonts w:ascii="Calibri" w:eastAsia="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2460</Words>
  <Characters>14027</Characters>
  <Application>Microsoft Office Word</Application>
  <DocSecurity>0</DocSecurity>
  <Lines>116</Lines>
  <Paragraphs>32</Paragraphs>
  <ScaleCrop>false</ScaleCrop>
  <Manager/>
  <Company/>
  <LinksUpToDate>false</LinksUpToDate>
  <CharactersWithSpaces>16455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Ferdinand N.</dc:creator>
  <cp:keywords/>
  <dc:description>generated by python-docx</dc:description>
  <cp:lastModifiedBy>Silver Rukara Intamati</cp:lastModifiedBy>
  <cp:revision>51</cp:revision>
  <dcterms:created xsi:type="dcterms:W3CDTF">2026-03-23T03:05:00Z</dcterms:created>
  <dcterms:modified xsi:type="dcterms:W3CDTF">2026-04-13T09:03:00Z</dcterms:modified>
  <cp:category/>
</cp:coreProperties>
</file>