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E2C6" w14:textId="6B3C6B0C" w:rsidR="00AC7437" w:rsidRPr="007975BE" w:rsidRDefault="00092F43" w:rsidP="007975BE">
      <w:pPr>
        <w:jc w:val="both"/>
        <w:rPr>
          <w:rFonts w:ascii="Poppins" w:hAnsi="Poppins" w:cs="Poppins"/>
          <w:b/>
          <w:bCs/>
          <w:sz w:val="32"/>
          <w:szCs w:val="32"/>
        </w:rPr>
      </w:pPr>
      <w:r w:rsidRPr="18CC43FF">
        <w:rPr>
          <w:rFonts w:ascii="Poppins" w:hAnsi="Poppins" w:cs="Poppins"/>
          <w:b/>
          <w:bCs/>
          <w:sz w:val="32"/>
          <w:szCs w:val="32"/>
        </w:rPr>
        <w:t>FINANCIAL</w:t>
      </w:r>
      <w:r w:rsidR="00AC7437" w:rsidRPr="18CC43FF">
        <w:rPr>
          <w:rFonts w:ascii="Poppins" w:hAnsi="Poppins" w:cs="Poppins"/>
          <w:b/>
          <w:bCs/>
          <w:sz w:val="32"/>
          <w:szCs w:val="32"/>
        </w:rPr>
        <w:t xml:space="preserve"> PROPOSAL SUBMISSION FORM (</w:t>
      </w:r>
      <w:r w:rsidR="43972623" w:rsidRPr="18CC43FF">
        <w:rPr>
          <w:rFonts w:ascii="Poppins" w:hAnsi="Poppins" w:cs="Poppins"/>
          <w:b/>
          <w:bCs/>
          <w:sz w:val="32"/>
          <w:szCs w:val="32"/>
        </w:rPr>
        <w:t>FIRM</w:t>
      </w:r>
      <w:r w:rsidR="00AC7437" w:rsidRPr="18CC43FF">
        <w:rPr>
          <w:rFonts w:ascii="Poppins" w:hAnsi="Poppins" w:cs="Poppins"/>
          <w:b/>
          <w:bCs/>
          <w:sz w:val="32"/>
          <w:szCs w:val="32"/>
        </w:rPr>
        <w:t>)</w:t>
      </w:r>
    </w:p>
    <w:p w14:paraId="42DB8805" w14:textId="77777777" w:rsidR="007975BE" w:rsidRDefault="007975BE" w:rsidP="007975BE">
      <w:pPr>
        <w:jc w:val="both"/>
        <w:rPr>
          <w:rFonts w:ascii="Poppins" w:hAnsi="Poppins" w:cs="Poppins"/>
          <w:b/>
          <w:bCs/>
          <w:sz w:val="28"/>
          <w:szCs w:val="28"/>
          <w:u w:val="single"/>
        </w:rPr>
      </w:pPr>
    </w:p>
    <w:p w14:paraId="7CFA028E" w14:textId="145AF410" w:rsidR="007975BE" w:rsidRPr="00B11788" w:rsidRDefault="00501312" w:rsidP="007975BE">
      <w:pPr>
        <w:jc w:val="both"/>
        <w:rPr>
          <w:rFonts w:ascii="Poppins" w:hAnsi="Poppins" w:cs="Poppins"/>
          <w:b/>
          <w:bCs/>
          <w:sz w:val="28"/>
          <w:szCs w:val="28"/>
          <w:u w:val="single"/>
        </w:rPr>
      </w:pPr>
      <w:r w:rsidRPr="00B11788">
        <w:rPr>
          <w:rFonts w:ascii="Poppins" w:hAnsi="Poppins" w:cs="Poppins"/>
          <w:b/>
          <w:bCs/>
          <w:sz w:val="28"/>
          <w:szCs w:val="28"/>
          <w:u w:val="single"/>
        </w:rPr>
        <w:t xml:space="preserve">NOTES ON THE PREPARATION OF </w:t>
      </w:r>
      <w:r w:rsidR="00B11788" w:rsidRPr="00B11788">
        <w:rPr>
          <w:rFonts w:ascii="Poppins" w:hAnsi="Poppins" w:cs="Poppins"/>
          <w:b/>
          <w:bCs/>
          <w:sz w:val="28"/>
          <w:szCs w:val="28"/>
          <w:u w:val="single"/>
        </w:rPr>
        <w:t>THE FINANCIAL PROPOSAL</w:t>
      </w:r>
    </w:p>
    <w:p w14:paraId="29610A3F" w14:textId="75E266A1" w:rsidR="002A21E2" w:rsidRPr="00B11788" w:rsidRDefault="004B2B4B" w:rsidP="007975BE">
      <w:pPr>
        <w:pStyle w:val="ListParagraph"/>
        <w:numPr>
          <w:ilvl w:val="0"/>
          <w:numId w:val="8"/>
        </w:numPr>
        <w:jc w:val="both"/>
        <w:rPr>
          <w:rFonts w:ascii="Poppins" w:hAnsi="Poppins" w:cs="Poppins"/>
        </w:rPr>
      </w:pPr>
      <w:r w:rsidRPr="7D8272F0">
        <w:rPr>
          <w:rFonts w:ascii="Poppins" w:hAnsi="Poppins" w:cs="Poppins"/>
        </w:rPr>
        <w:t>The financial proposal prepared by the consul</w:t>
      </w:r>
      <w:r w:rsidR="507E4807" w:rsidRPr="7D8272F0">
        <w:rPr>
          <w:rFonts w:ascii="Poppins" w:hAnsi="Poppins" w:cs="Poppins"/>
        </w:rPr>
        <w:t>ting firm</w:t>
      </w:r>
      <w:r w:rsidRPr="7D8272F0">
        <w:rPr>
          <w:rFonts w:ascii="Poppins" w:hAnsi="Poppins" w:cs="Poppins"/>
        </w:rPr>
        <w:t xml:space="preserve"> should </w:t>
      </w:r>
      <w:r w:rsidR="00B11788" w:rsidRPr="7D8272F0">
        <w:rPr>
          <w:rFonts w:ascii="Poppins" w:hAnsi="Poppins" w:cs="Poppins"/>
        </w:rPr>
        <w:t>include</w:t>
      </w:r>
      <w:r w:rsidRPr="7D8272F0">
        <w:rPr>
          <w:rFonts w:ascii="Poppins" w:hAnsi="Poppins" w:cs="Poppins"/>
        </w:rPr>
        <w:t xml:space="preserve"> all the costs associated with the assignment. These costs normally cover</w:t>
      </w:r>
      <w:r w:rsidR="00921CBF" w:rsidRPr="7D8272F0">
        <w:rPr>
          <w:rFonts w:ascii="Poppins" w:hAnsi="Poppins" w:cs="Poppins"/>
        </w:rPr>
        <w:t xml:space="preserve"> both professional fees</w:t>
      </w:r>
      <w:r w:rsidR="4E19A160" w:rsidRPr="7D8272F0">
        <w:rPr>
          <w:rFonts w:ascii="Poppins" w:hAnsi="Poppins" w:cs="Poppins"/>
        </w:rPr>
        <w:t xml:space="preserve">, taxes </w:t>
      </w:r>
      <w:r w:rsidR="00921CBF" w:rsidRPr="7D8272F0">
        <w:rPr>
          <w:rFonts w:ascii="Poppins" w:hAnsi="Poppins" w:cs="Poppins"/>
        </w:rPr>
        <w:t>and reimburs</w:t>
      </w:r>
      <w:r w:rsidR="33DFC69D" w:rsidRPr="7D8272F0">
        <w:rPr>
          <w:rFonts w:ascii="Poppins" w:hAnsi="Poppins" w:cs="Poppins"/>
        </w:rPr>
        <w:t xml:space="preserve">able </w:t>
      </w:r>
      <w:r w:rsidR="00921CBF" w:rsidRPr="7D8272F0">
        <w:rPr>
          <w:rFonts w:ascii="Poppins" w:hAnsi="Poppins" w:cs="Poppins"/>
        </w:rPr>
        <w:t>cost</w:t>
      </w:r>
      <w:r w:rsidR="7E87A9B8" w:rsidRPr="7D8272F0">
        <w:rPr>
          <w:rFonts w:ascii="Poppins" w:hAnsi="Poppins" w:cs="Poppins"/>
        </w:rPr>
        <w:t>s</w:t>
      </w:r>
      <w:r w:rsidR="00921CBF" w:rsidRPr="7D8272F0">
        <w:rPr>
          <w:rFonts w:ascii="Poppins" w:hAnsi="Poppins" w:cs="Poppins"/>
        </w:rPr>
        <w:t xml:space="preserve"> where </w:t>
      </w:r>
      <w:r w:rsidR="00B11788" w:rsidRPr="7D8272F0">
        <w:rPr>
          <w:rFonts w:ascii="Poppins" w:hAnsi="Poppins" w:cs="Poppins"/>
        </w:rPr>
        <w:t>applicable. The</w:t>
      </w:r>
      <w:r w:rsidR="00921CBF" w:rsidRPr="7D8272F0">
        <w:rPr>
          <w:rFonts w:ascii="Poppins" w:hAnsi="Poppins" w:cs="Poppins"/>
        </w:rPr>
        <w:t xml:space="preserve"> cost should be broken d</w:t>
      </w:r>
      <w:r w:rsidR="00D8532B" w:rsidRPr="7D8272F0">
        <w:rPr>
          <w:rFonts w:ascii="Poppins" w:hAnsi="Poppins" w:cs="Poppins"/>
        </w:rPr>
        <w:t>own to be clearly understood by AGRA.</w:t>
      </w:r>
    </w:p>
    <w:p w14:paraId="059C1A4F" w14:textId="7BEEB0C3" w:rsidR="002A21E2" w:rsidRPr="00B11788" w:rsidRDefault="0027021D" w:rsidP="007975BE">
      <w:pPr>
        <w:pStyle w:val="ListParagraph"/>
        <w:numPr>
          <w:ilvl w:val="0"/>
          <w:numId w:val="8"/>
        </w:numPr>
        <w:jc w:val="both"/>
        <w:rPr>
          <w:rFonts w:ascii="Poppins" w:hAnsi="Poppins" w:cs="Poppins"/>
        </w:rPr>
      </w:pPr>
      <w:r w:rsidRPr="00B11788">
        <w:rPr>
          <w:rFonts w:ascii="Poppins" w:hAnsi="Poppins" w:cs="Poppins"/>
        </w:rPr>
        <w:t xml:space="preserve">The financial proposal shall be in </w:t>
      </w:r>
      <w:r w:rsidR="004C040A">
        <w:rPr>
          <w:rFonts w:ascii="Poppins" w:hAnsi="Poppins" w:cs="Poppins"/>
          <w:b/>
          <w:bCs/>
        </w:rPr>
        <w:t>USD</w:t>
      </w:r>
      <w:r w:rsidR="00C67C61">
        <w:rPr>
          <w:rFonts w:ascii="Poppins" w:hAnsi="Poppins" w:cs="Poppins"/>
          <w:b/>
          <w:bCs/>
        </w:rPr>
        <w:t xml:space="preserve"> </w:t>
      </w:r>
      <w:r w:rsidR="00300685" w:rsidRPr="00B11788">
        <w:rPr>
          <w:rFonts w:ascii="Poppins" w:hAnsi="Poppins" w:cs="Poppins"/>
        </w:rPr>
        <w:t xml:space="preserve">and shall </w:t>
      </w:r>
      <w:r w:rsidR="005D704C" w:rsidRPr="00B11788">
        <w:rPr>
          <w:rFonts w:ascii="Poppins" w:hAnsi="Poppins" w:cs="Poppins"/>
        </w:rPr>
        <w:t>be inclusive of all taxes applicable</w:t>
      </w:r>
    </w:p>
    <w:p w14:paraId="1184D2E1" w14:textId="4FE8D20C" w:rsidR="00501312" w:rsidRPr="00B11788" w:rsidRDefault="00501312" w:rsidP="007975BE">
      <w:pPr>
        <w:pStyle w:val="ListParagraph"/>
        <w:numPr>
          <w:ilvl w:val="0"/>
          <w:numId w:val="8"/>
        </w:numPr>
        <w:jc w:val="both"/>
        <w:rPr>
          <w:rFonts w:ascii="Poppins" w:hAnsi="Poppins" w:cs="Poppins"/>
        </w:rPr>
      </w:pPr>
      <w:r w:rsidRPr="32C2D1B3">
        <w:rPr>
          <w:rFonts w:ascii="Poppins" w:hAnsi="Poppins" w:cs="Poppins"/>
        </w:rPr>
        <w:t xml:space="preserve">The </w:t>
      </w:r>
      <w:r w:rsidR="002A21E2" w:rsidRPr="32C2D1B3">
        <w:rPr>
          <w:rFonts w:ascii="Poppins" w:hAnsi="Poppins" w:cs="Poppins"/>
        </w:rPr>
        <w:t xml:space="preserve">financial </w:t>
      </w:r>
      <w:r w:rsidR="005D704C" w:rsidRPr="32C2D1B3">
        <w:rPr>
          <w:rFonts w:ascii="Poppins" w:hAnsi="Poppins" w:cs="Poppins"/>
        </w:rPr>
        <w:t xml:space="preserve">proposal shall </w:t>
      </w:r>
      <w:r w:rsidR="00B11788" w:rsidRPr="32C2D1B3">
        <w:rPr>
          <w:rFonts w:ascii="Poppins" w:hAnsi="Poppins" w:cs="Poppins"/>
        </w:rPr>
        <w:t xml:space="preserve">be prepared using this bid submission form and </w:t>
      </w:r>
      <w:r w:rsidR="002A37D8" w:rsidRPr="32C2D1B3">
        <w:rPr>
          <w:rFonts w:ascii="Poppins" w:hAnsi="Poppins" w:cs="Poppins"/>
        </w:rPr>
        <w:t xml:space="preserve">submitted as </w:t>
      </w:r>
      <w:r w:rsidR="002A37D8" w:rsidRPr="32C2D1B3">
        <w:rPr>
          <w:rFonts w:ascii="Poppins" w:hAnsi="Poppins" w:cs="Poppins"/>
          <w:b/>
          <w:bCs/>
        </w:rPr>
        <w:t>ONE</w:t>
      </w:r>
      <w:r w:rsidR="002A37D8" w:rsidRPr="32C2D1B3">
        <w:rPr>
          <w:rFonts w:ascii="Poppins" w:hAnsi="Poppins" w:cs="Poppins"/>
        </w:rPr>
        <w:t xml:space="preserve"> document and attached in the Oracle system</w:t>
      </w:r>
      <w:r w:rsidR="002A21E2" w:rsidRPr="32C2D1B3">
        <w:rPr>
          <w:rFonts w:ascii="Poppins" w:hAnsi="Poppins" w:cs="Poppins"/>
        </w:rPr>
        <w:t xml:space="preserve"> under</w:t>
      </w:r>
      <w:r w:rsidR="506FAA68" w:rsidRPr="32C2D1B3">
        <w:rPr>
          <w:rFonts w:ascii="Poppins" w:hAnsi="Poppins" w:cs="Poppins"/>
        </w:rPr>
        <w:t xml:space="preserve"> the</w:t>
      </w:r>
      <w:r w:rsidR="002A21E2" w:rsidRPr="32C2D1B3">
        <w:rPr>
          <w:rFonts w:ascii="Poppins" w:hAnsi="Poppins" w:cs="Poppins"/>
        </w:rPr>
        <w:t xml:space="preserve"> lines section.</w:t>
      </w:r>
    </w:p>
    <w:p w14:paraId="39BF0BA9" w14:textId="25C502E3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37E59C06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458CA727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416B7981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398BC041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653FF0F4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1731DB57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2E881C19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4C4691F7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0C8EAB38" w14:textId="77777777" w:rsidR="00501312" w:rsidRPr="00645349" w:rsidRDefault="00501312" w:rsidP="007975BE">
      <w:pPr>
        <w:jc w:val="both"/>
        <w:rPr>
          <w:rFonts w:ascii="Poppins" w:hAnsi="Poppins" w:cs="Poppins"/>
          <w:sz w:val="20"/>
          <w:szCs w:val="20"/>
        </w:rPr>
      </w:pPr>
    </w:p>
    <w:p w14:paraId="58C95294" w14:textId="0DE5F228" w:rsidR="26CFCBDB" w:rsidRDefault="26CFCBDB" w:rsidP="26CFCBDB">
      <w:pPr>
        <w:jc w:val="both"/>
        <w:rPr>
          <w:rFonts w:ascii="Poppins" w:hAnsi="Poppins" w:cs="Poppins"/>
          <w:sz w:val="20"/>
          <w:szCs w:val="20"/>
        </w:rPr>
      </w:pPr>
    </w:p>
    <w:p w14:paraId="6E8A7374" w14:textId="2D3459F1" w:rsidR="26CFCBDB" w:rsidRDefault="26CFCBDB" w:rsidP="26CFCBDB">
      <w:pPr>
        <w:jc w:val="both"/>
        <w:rPr>
          <w:rFonts w:ascii="Poppins" w:hAnsi="Poppins" w:cs="Poppins"/>
          <w:sz w:val="20"/>
          <w:szCs w:val="20"/>
        </w:rPr>
      </w:pPr>
    </w:p>
    <w:p w14:paraId="29AAB8DE" w14:textId="28C9C992" w:rsidR="26CFCBDB" w:rsidRDefault="26CFCBDB" w:rsidP="26CFCBDB">
      <w:pPr>
        <w:jc w:val="both"/>
        <w:rPr>
          <w:rFonts w:ascii="Poppins" w:hAnsi="Poppins" w:cs="Poppins"/>
          <w:sz w:val="20"/>
          <w:szCs w:val="20"/>
        </w:rPr>
      </w:pPr>
    </w:p>
    <w:p w14:paraId="2112DC24" w14:textId="77777777" w:rsidR="00C67C61" w:rsidRDefault="00C67C61" w:rsidP="26CFCBDB">
      <w:pPr>
        <w:jc w:val="both"/>
        <w:rPr>
          <w:rFonts w:ascii="Poppins" w:hAnsi="Poppins" w:cs="Poppins"/>
          <w:sz w:val="20"/>
          <w:szCs w:val="20"/>
        </w:rPr>
      </w:pPr>
    </w:p>
    <w:p w14:paraId="73D4A61D" w14:textId="784A6573" w:rsidR="00AC7437" w:rsidRPr="00802DFB" w:rsidRDefault="00B11788" w:rsidP="007975BE">
      <w:pPr>
        <w:pStyle w:val="ListParagraph"/>
        <w:numPr>
          <w:ilvl w:val="0"/>
          <w:numId w:val="9"/>
        </w:numPr>
        <w:jc w:val="both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lastRenderedPageBreak/>
        <w:t>FI</w:t>
      </w:r>
      <w:r w:rsidR="009C6B0C">
        <w:rPr>
          <w:rFonts w:ascii="Poppins" w:hAnsi="Poppins" w:cs="Poppins"/>
          <w:b/>
          <w:bCs/>
          <w:sz w:val="28"/>
          <w:szCs w:val="28"/>
        </w:rPr>
        <w:t>NANCIAL</w:t>
      </w:r>
      <w:r w:rsidR="00AC7437" w:rsidRPr="00802DFB">
        <w:rPr>
          <w:rFonts w:ascii="Poppins" w:hAnsi="Poppins" w:cs="Poppins"/>
          <w:b/>
          <w:bCs/>
          <w:sz w:val="28"/>
          <w:szCs w:val="28"/>
        </w:rPr>
        <w:t xml:space="preserve"> PROPOSAL SUBMISSION LETTER.</w:t>
      </w:r>
    </w:p>
    <w:p w14:paraId="2DE429EF" w14:textId="77777777" w:rsidR="00AC7437" w:rsidRDefault="00AC7437" w:rsidP="007975BE">
      <w:pPr>
        <w:jc w:val="both"/>
        <w:rPr>
          <w:rFonts w:ascii="Poppins" w:hAnsi="Poppins" w:cs="Poppins"/>
          <w:sz w:val="20"/>
          <w:szCs w:val="20"/>
        </w:rPr>
      </w:pPr>
    </w:p>
    <w:p w14:paraId="41A2562B" w14:textId="77777777" w:rsidR="00AC7437" w:rsidRPr="00645349" w:rsidRDefault="00AC7437" w:rsidP="007975BE">
      <w:pPr>
        <w:jc w:val="both"/>
        <w:rPr>
          <w:rFonts w:ascii="Poppins" w:hAnsi="Poppins" w:cs="Poppins"/>
          <w:sz w:val="20"/>
          <w:szCs w:val="20"/>
        </w:rPr>
      </w:pPr>
    </w:p>
    <w:p w14:paraId="3886EDAB" w14:textId="0D086C69" w:rsidR="00501312" w:rsidRPr="00AC7437" w:rsidRDefault="00501312" w:rsidP="007975BE">
      <w:pPr>
        <w:jc w:val="both"/>
        <w:rPr>
          <w:rFonts w:ascii="Poppins" w:hAnsi="Poppins" w:cs="Poppins"/>
        </w:rPr>
      </w:pP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</w:r>
      <w:r w:rsidRPr="00AC7437">
        <w:rPr>
          <w:rFonts w:ascii="Poppins" w:hAnsi="Poppins" w:cs="Poppins"/>
        </w:rPr>
        <w:tab/>
        <w:t>---------------------D</w:t>
      </w:r>
      <w:r w:rsidR="007975BE">
        <w:rPr>
          <w:rFonts w:ascii="Poppins" w:hAnsi="Poppins" w:cs="Poppins"/>
        </w:rPr>
        <w:t>ate</w:t>
      </w:r>
    </w:p>
    <w:p w14:paraId="79C73C0D" w14:textId="3F03D7D8" w:rsidR="00501312" w:rsidRPr="00AC7437" w:rsidRDefault="006A62A3" w:rsidP="007975BE">
      <w:pPr>
        <w:jc w:val="both"/>
        <w:rPr>
          <w:rFonts w:ascii="Poppins" w:hAnsi="Poppins" w:cs="Poppins"/>
          <w:b/>
          <w:bCs/>
          <w:u w:val="single"/>
        </w:rPr>
      </w:pPr>
      <w:r w:rsidRPr="00AC7437">
        <w:rPr>
          <w:rFonts w:ascii="Poppins" w:hAnsi="Poppins" w:cs="Poppins"/>
          <w:b/>
          <w:bCs/>
          <w:u w:val="single"/>
        </w:rPr>
        <w:t>T</w:t>
      </w:r>
      <w:r w:rsidR="00912DD7" w:rsidRPr="00AC7437">
        <w:rPr>
          <w:rFonts w:ascii="Poppins" w:hAnsi="Poppins" w:cs="Poppins"/>
          <w:b/>
          <w:bCs/>
          <w:u w:val="single"/>
        </w:rPr>
        <w:t>o</w:t>
      </w:r>
      <w:r w:rsidRPr="00AC7437">
        <w:rPr>
          <w:rFonts w:ascii="Poppins" w:hAnsi="Poppins" w:cs="Poppins"/>
          <w:b/>
          <w:bCs/>
          <w:u w:val="single"/>
        </w:rPr>
        <w:t>: Procurement at AGRA</w:t>
      </w:r>
      <w:r w:rsidR="00501312" w:rsidRPr="00AC7437">
        <w:rPr>
          <w:rFonts w:ascii="Poppins" w:hAnsi="Poppins" w:cs="Poppins"/>
          <w:b/>
          <w:bCs/>
          <w:u w:val="single"/>
        </w:rPr>
        <w:tab/>
      </w:r>
      <w:r w:rsidR="00501312" w:rsidRPr="00AC7437">
        <w:rPr>
          <w:rFonts w:ascii="Poppins" w:hAnsi="Poppins" w:cs="Poppins"/>
          <w:b/>
          <w:bCs/>
          <w:u w:val="single"/>
        </w:rPr>
        <w:tab/>
      </w:r>
    </w:p>
    <w:p w14:paraId="6772A7F1" w14:textId="77777777" w:rsidR="00912DD7" w:rsidRPr="00AC7437" w:rsidRDefault="00912DD7" w:rsidP="007975BE">
      <w:pPr>
        <w:jc w:val="both"/>
        <w:rPr>
          <w:rFonts w:ascii="Poppins" w:hAnsi="Poppins" w:cs="Poppins"/>
        </w:rPr>
      </w:pPr>
    </w:p>
    <w:p w14:paraId="3A7716BB" w14:textId="6D3385F2" w:rsidR="006A62A3" w:rsidRPr="00AC7437" w:rsidRDefault="0081015C" w:rsidP="007975BE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I</w:t>
      </w:r>
      <w:r w:rsidR="006A62A3" w:rsidRPr="00AC7437">
        <w:rPr>
          <w:rFonts w:ascii="Poppins" w:hAnsi="Poppins" w:cs="Poppins"/>
        </w:rPr>
        <w:t>,</w:t>
      </w:r>
      <w:r w:rsidR="00077C92">
        <w:rPr>
          <w:rFonts w:ascii="Poppins" w:hAnsi="Poppins" w:cs="Poppins"/>
        </w:rPr>
        <w:t>-----------------(</w:t>
      </w:r>
      <w:r w:rsidR="00077C92" w:rsidRPr="00077C92">
        <w:rPr>
          <w:rFonts w:ascii="Poppins" w:hAnsi="Poppins" w:cs="Poppins"/>
          <w:i/>
          <w:iCs/>
          <w:color w:val="00B0F0"/>
        </w:rPr>
        <w:t>insert you full names</w:t>
      </w:r>
      <w:r w:rsidR="00077C92">
        <w:rPr>
          <w:rFonts w:ascii="Poppins" w:hAnsi="Poppins" w:cs="Poppins"/>
        </w:rPr>
        <w:t xml:space="preserve">) </w:t>
      </w:r>
      <w:r w:rsidR="006A62A3" w:rsidRPr="00AC7437">
        <w:rPr>
          <w:rFonts w:ascii="Poppins" w:hAnsi="Poppins" w:cs="Poppins"/>
        </w:rPr>
        <w:t>offer to provide the consulting services for -----------------(</w:t>
      </w:r>
      <w:r w:rsidR="006A62A3" w:rsidRPr="00AC7437">
        <w:rPr>
          <w:rFonts w:ascii="Poppins" w:hAnsi="Poppins" w:cs="Poppins"/>
          <w:i/>
          <w:iCs/>
          <w:color w:val="00B0F0"/>
        </w:rPr>
        <w:t xml:space="preserve">Insert the Title of the consulting </w:t>
      </w:r>
      <w:r w:rsidR="00AC7437" w:rsidRPr="00AC7437">
        <w:rPr>
          <w:rFonts w:ascii="Poppins" w:hAnsi="Poppins" w:cs="Poppins"/>
          <w:i/>
          <w:iCs/>
          <w:color w:val="00B0F0"/>
        </w:rPr>
        <w:t xml:space="preserve">services) </w:t>
      </w:r>
      <w:r w:rsidR="00AC7437" w:rsidRPr="00AC7437">
        <w:rPr>
          <w:rFonts w:ascii="Poppins" w:hAnsi="Poppins" w:cs="Poppins"/>
          <w:i/>
          <w:iCs/>
        </w:rPr>
        <w:t>in</w:t>
      </w:r>
      <w:r w:rsidR="00912DD7" w:rsidRPr="00AC7437">
        <w:rPr>
          <w:rFonts w:ascii="Poppins" w:hAnsi="Poppins" w:cs="Poppins"/>
        </w:rPr>
        <w:t xml:space="preserve"> conformity with the requirements defined in the RFP reference</w:t>
      </w:r>
      <w:r w:rsidR="002A37D8">
        <w:rPr>
          <w:rFonts w:ascii="Poppins" w:hAnsi="Poppins" w:cs="Poppins"/>
        </w:rPr>
        <w:t>d</w:t>
      </w:r>
      <w:r w:rsidR="00912DD7" w:rsidRPr="00AC7437">
        <w:rPr>
          <w:rFonts w:ascii="Poppins" w:hAnsi="Poppins" w:cs="Poppins"/>
          <w:i/>
          <w:iCs/>
        </w:rPr>
        <w:t xml:space="preserve"> </w:t>
      </w:r>
      <w:r w:rsidR="00AC7437" w:rsidRPr="00AC7437">
        <w:rPr>
          <w:rFonts w:ascii="Poppins" w:hAnsi="Poppins" w:cs="Poppins"/>
          <w:i/>
          <w:iCs/>
        </w:rPr>
        <w:t>(</w:t>
      </w:r>
      <w:r w:rsidR="00AC7437" w:rsidRPr="00AC7437">
        <w:rPr>
          <w:rFonts w:ascii="Poppins" w:hAnsi="Poppins" w:cs="Poppins"/>
          <w:i/>
          <w:iCs/>
          <w:color w:val="00B0F0"/>
        </w:rPr>
        <w:t>Insert</w:t>
      </w:r>
      <w:r w:rsidR="00912DD7" w:rsidRPr="00AC7437">
        <w:rPr>
          <w:rFonts w:ascii="Poppins" w:hAnsi="Poppins" w:cs="Poppins"/>
          <w:i/>
          <w:iCs/>
          <w:color w:val="00B0F0"/>
        </w:rPr>
        <w:t xml:space="preserve"> RFP Number</w:t>
      </w:r>
      <w:r w:rsidR="00912DD7" w:rsidRPr="00AC7437">
        <w:rPr>
          <w:rFonts w:ascii="Poppins" w:hAnsi="Poppins" w:cs="Poppins"/>
          <w:color w:val="00B0F0"/>
        </w:rPr>
        <w:t xml:space="preserve">), </w:t>
      </w:r>
      <w:r w:rsidR="00912DD7" w:rsidRPr="00AC7437">
        <w:rPr>
          <w:rFonts w:ascii="Poppins" w:hAnsi="Poppins" w:cs="Poppins"/>
        </w:rPr>
        <w:t xml:space="preserve">and all its </w:t>
      </w:r>
      <w:r w:rsidR="00973588" w:rsidRPr="00AC7437">
        <w:rPr>
          <w:rFonts w:ascii="Poppins" w:hAnsi="Poppins" w:cs="Poppins"/>
        </w:rPr>
        <w:t>attachments</w:t>
      </w:r>
      <w:r w:rsidR="00973588">
        <w:rPr>
          <w:rFonts w:ascii="Poppins" w:hAnsi="Poppins" w:cs="Poppins"/>
        </w:rPr>
        <w:t xml:space="preserve"> </w:t>
      </w:r>
      <w:r w:rsidR="006A62A3" w:rsidRPr="00AC7437">
        <w:rPr>
          <w:rFonts w:ascii="Poppins" w:hAnsi="Poppins" w:cs="Poppins"/>
        </w:rPr>
        <w:t xml:space="preserve">in accordance with your Request for </w:t>
      </w:r>
      <w:r w:rsidR="00912DD7" w:rsidRPr="00AC7437">
        <w:rPr>
          <w:rFonts w:ascii="Poppins" w:hAnsi="Poppins" w:cs="Poppins"/>
        </w:rPr>
        <w:t xml:space="preserve">proposal. </w:t>
      </w:r>
      <w:r w:rsidR="00077C92">
        <w:rPr>
          <w:rFonts w:ascii="Poppins" w:hAnsi="Poppins" w:cs="Poppins"/>
        </w:rPr>
        <w:t xml:space="preserve">I am </w:t>
      </w:r>
      <w:r w:rsidR="006A62A3" w:rsidRPr="00AC7437">
        <w:rPr>
          <w:rFonts w:ascii="Poppins" w:hAnsi="Poppins" w:cs="Poppins"/>
        </w:rPr>
        <w:t xml:space="preserve">hereby submitting </w:t>
      </w:r>
      <w:r w:rsidR="007975BE">
        <w:rPr>
          <w:rFonts w:ascii="Poppins" w:hAnsi="Poppins" w:cs="Poppins"/>
        </w:rPr>
        <w:t xml:space="preserve">my </w:t>
      </w:r>
      <w:r w:rsidR="007975BE" w:rsidRPr="00AC7437">
        <w:rPr>
          <w:rFonts w:ascii="Poppins" w:hAnsi="Poppins" w:cs="Poppins"/>
        </w:rPr>
        <w:t>financial</w:t>
      </w:r>
      <w:r w:rsidR="00973588">
        <w:rPr>
          <w:rFonts w:ascii="Poppins" w:hAnsi="Poppins" w:cs="Poppins"/>
        </w:rPr>
        <w:t xml:space="preserve"> </w:t>
      </w:r>
      <w:r w:rsidR="00912DD7" w:rsidRPr="00AC7437">
        <w:rPr>
          <w:rFonts w:ascii="Poppins" w:hAnsi="Poppins" w:cs="Poppins"/>
        </w:rPr>
        <w:t>proposal</w:t>
      </w:r>
      <w:r w:rsidR="00AC1BC6">
        <w:rPr>
          <w:rFonts w:ascii="Poppins" w:hAnsi="Poppins" w:cs="Poppins"/>
        </w:rPr>
        <w:t xml:space="preserve"> of total sum of---------------------------</w:t>
      </w:r>
      <w:r w:rsidR="000F7EA9">
        <w:rPr>
          <w:rFonts w:ascii="Poppins" w:hAnsi="Poppins" w:cs="Poppins"/>
        </w:rPr>
        <w:t>(amount</w:t>
      </w:r>
      <w:r w:rsidR="007B5BF8">
        <w:rPr>
          <w:rFonts w:ascii="Poppins" w:hAnsi="Poppins" w:cs="Poppins"/>
        </w:rPr>
        <w:t xml:space="preserve"> in figures and words) inclusive of all applicable Taxes.</w:t>
      </w:r>
    </w:p>
    <w:p w14:paraId="6FC628AF" w14:textId="77777777" w:rsidR="00AC7437" w:rsidRDefault="00AC7437" w:rsidP="007975BE">
      <w:pPr>
        <w:jc w:val="both"/>
        <w:rPr>
          <w:rFonts w:ascii="Poppins" w:hAnsi="Poppins" w:cs="Poppins"/>
        </w:rPr>
      </w:pPr>
    </w:p>
    <w:p w14:paraId="0E28E1B2" w14:textId="0907153B" w:rsidR="00912DD7" w:rsidRPr="00AC7437" w:rsidRDefault="00912DD7" w:rsidP="007975BE">
      <w:pPr>
        <w:jc w:val="both"/>
        <w:rPr>
          <w:rFonts w:ascii="Poppins" w:hAnsi="Poppins" w:cs="Poppins"/>
        </w:rPr>
      </w:pPr>
      <w:r w:rsidRPr="00AC7437">
        <w:rPr>
          <w:rFonts w:ascii="Poppins" w:hAnsi="Poppins" w:cs="Poppins"/>
        </w:rPr>
        <w:t>We understand you are not bound to accept any proposal that you receive.</w:t>
      </w:r>
    </w:p>
    <w:p w14:paraId="30DB4298" w14:textId="77777777" w:rsidR="00AC7437" w:rsidRDefault="00AC7437" w:rsidP="007975BE">
      <w:pPr>
        <w:jc w:val="both"/>
        <w:rPr>
          <w:rFonts w:ascii="Poppins" w:hAnsi="Poppins" w:cs="Poppins"/>
        </w:rPr>
      </w:pPr>
    </w:p>
    <w:p w14:paraId="0FE9E0E9" w14:textId="2013C0E1" w:rsidR="00912DD7" w:rsidRPr="00AC7437" w:rsidRDefault="00912DD7" w:rsidP="007975BE">
      <w:pPr>
        <w:jc w:val="both"/>
        <w:rPr>
          <w:rFonts w:ascii="Poppins" w:hAnsi="Poppins" w:cs="Poppins"/>
        </w:rPr>
      </w:pPr>
      <w:r w:rsidRPr="00AC7437">
        <w:rPr>
          <w:rFonts w:ascii="Poppins" w:hAnsi="Poppins" w:cs="Poppins"/>
        </w:rPr>
        <w:t>Yours sincerely,</w:t>
      </w:r>
    </w:p>
    <w:p w14:paraId="0CC4435B" w14:textId="77777777" w:rsidR="00912DD7" w:rsidRPr="00AC7437" w:rsidRDefault="00912DD7" w:rsidP="007975BE">
      <w:pPr>
        <w:jc w:val="both"/>
        <w:rPr>
          <w:rFonts w:ascii="Poppins" w:hAnsi="Poppins" w:cs="Poppins"/>
        </w:rPr>
      </w:pPr>
    </w:p>
    <w:p w14:paraId="45C3E9E8" w14:textId="16B8D740" w:rsidR="00912DD7" w:rsidRPr="00AC7437" w:rsidRDefault="00912DD7" w:rsidP="007975BE">
      <w:pPr>
        <w:jc w:val="both"/>
        <w:rPr>
          <w:rFonts w:ascii="Poppins" w:hAnsi="Poppins" w:cs="Poppins"/>
        </w:rPr>
      </w:pPr>
      <w:r w:rsidRPr="00AC7437">
        <w:rPr>
          <w:rFonts w:ascii="Poppins" w:hAnsi="Poppins" w:cs="Poppins"/>
        </w:rPr>
        <w:t>------------------------------------------ (Authorized Signature)</w:t>
      </w:r>
    </w:p>
    <w:p w14:paraId="0241A795" w14:textId="77777777" w:rsidR="00912DD7" w:rsidRDefault="00912DD7" w:rsidP="007975BE">
      <w:pPr>
        <w:jc w:val="both"/>
        <w:rPr>
          <w:rFonts w:ascii="Poppins" w:hAnsi="Poppins" w:cs="Poppins"/>
        </w:rPr>
      </w:pPr>
    </w:p>
    <w:p w14:paraId="6D94339B" w14:textId="77777777" w:rsidR="007975BE" w:rsidRPr="00AC7437" w:rsidRDefault="007975BE" w:rsidP="007975BE">
      <w:pPr>
        <w:jc w:val="both"/>
        <w:rPr>
          <w:rFonts w:ascii="Poppins" w:hAnsi="Poppins" w:cs="Poppins"/>
        </w:rPr>
      </w:pPr>
    </w:p>
    <w:p w14:paraId="00F532F2" w14:textId="07FF0889" w:rsidR="00912DD7" w:rsidRPr="007975BE" w:rsidRDefault="00912DD7" w:rsidP="007975BE">
      <w:pPr>
        <w:spacing w:line="240" w:lineRule="auto"/>
        <w:jc w:val="both"/>
        <w:rPr>
          <w:rFonts w:ascii="Poppins" w:hAnsi="Poppins" w:cs="Poppins"/>
        </w:rPr>
      </w:pPr>
      <w:r w:rsidRPr="2A76BC98">
        <w:rPr>
          <w:rFonts w:ascii="Poppins" w:hAnsi="Poppins" w:cs="Poppins"/>
        </w:rPr>
        <w:t xml:space="preserve">-----------------------------------------(Name of </w:t>
      </w:r>
      <w:r w:rsidR="00077C92" w:rsidRPr="2A76BC98">
        <w:rPr>
          <w:rFonts w:ascii="Poppins" w:hAnsi="Poppins" w:cs="Poppins"/>
        </w:rPr>
        <w:t>the Consultant</w:t>
      </w:r>
      <w:r w:rsidRPr="2A76BC98">
        <w:rPr>
          <w:rFonts w:ascii="Poppins" w:hAnsi="Poppins" w:cs="Poppins"/>
        </w:rPr>
        <w:t>)</w:t>
      </w:r>
    </w:p>
    <w:p w14:paraId="6B6A6856" w14:textId="66067ADD" w:rsidR="2A76BC98" w:rsidRDefault="2A76BC98" w:rsidP="2A76BC98">
      <w:pPr>
        <w:spacing w:line="240" w:lineRule="auto"/>
        <w:jc w:val="both"/>
        <w:rPr>
          <w:rFonts w:ascii="Poppins" w:hAnsi="Poppins" w:cs="Poppins"/>
        </w:rPr>
      </w:pPr>
    </w:p>
    <w:p w14:paraId="3D531766" w14:textId="77777777" w:rsidR="00C67C61" w:rsidRDefault="00C67C61" w:rsidP="2A76BC98">
      <w:pPr>
        <w:spacing w:line="240" w:lineRule="auto"/>
        <w:jc w:val="both"/>
        <w:rPr>
          <w:rFonts w:ascii="Poppins" w:hAnsi="Poppins" w:cs="Poppins"/>
        </w:rPr>
      </w:pPr>
    </w:p>
    <w:p w14:paraId="2F223065" w14:textId="13F4C010" w:rsidR="00AC7437" w:rsidRPr="000145E1" w:rsidRDefault="00AC7437" w:rsidP="000145E1">
      <w:pPr>
        <w:pStyle w:val="ListParagraph"/>
        <w:numPr>
          <w:ilvl w:val="0"/>
          <w:numId w:val="9"/>
        </w:numPr>
        <w:jc w:val="both"/>
        <w:rPr>
          <w:rFonts w:ascii="Poppins" w:hAnsi="Poppins" w:cs="Poppins"/>
          <w:b/>
          <w:bCs/>
          <w:sz w:val="28"/>
          <w:szCs w:val="28"/>
        </w:rPr>
      </w:pPr>
      <w:r w:rsidRPr="00802DFB">
        <w:rPr>
          <w:rFonts w:ascii="Poppins" w:hAnsi="Poppins" w:cs="Poppins"/>
          <w:b/>
          <w:bCs/>
          <w:sz w:val="28"/>
          <w:szCs w:val="28"/>
        </w:rPr>
        <w:lastRenderedPageBreak/>
        <w:t xml:space="preserve"> </w:t>
      </w:r>
      <w:r w:rsidR="009E6EC8">
        <w:rPr>
          <w:rFonts w:ascii="Poppins" w:hAnsi="Poppins" w:cs="Poppins"/>
          <w:b/>
          <w:bCs/>
          <w:sz w:val="28"/>
          <w:szCs w:val="28"/>
        </w:rPr>
        <w:t>SUMMARY OF THE COSTS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6745"/>
        <w:gridCol w:w="3330"/>
      </w:tblGrid>
      <w:tr w:rsidR="006749A0" w:rsidRPr="006749A0" w14:paraId="2045FA6B" w14:textId="77777777" w:rsidTr="32C2D1B3">
        <w:trPr>
          <w:trHeight w:val="63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73"/>
            <w:noWrap/>
            <w:vAlign w:val="center"/>
            <w:hideMark/>
          </w:tcPr>
          <w:p w14:paraId="1C542A89" w14:textId="77777777" w:rsidR="006749A0" w:rsidRPr="006749A0" w:rsidRDefault="006749A0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749A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Description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D973"/>
            <w:noWrap/>
            <w:vAlign w:val="center"/>
            <w:hideMark/>
          </w:tcPr>
          <w:p w14:paraId="63F099B7" w14:textId="24E94243" w:rsidR="006749A0" w:rsidRPr="006749A0" w:rsidRDefault="006749A0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749A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Total Cost in </w:t>
            </w:r>
            <w:r w:rsidR="004C040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USD</w:t>
            </w:r>
          </w:p>
        </w:tc>
      </w:tr>
      <w:tr w:rsidR="006749A0" w:rsidRPr="006749A0" w14:paraId="002E985B" w14:textId="77777777" w:rsidTr="32C2D1B3">
        <w:trPr>
          <w:trHeight w:val="1097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94CB" w14:textId="04B98EF7" w:rsidR="006749A0" w:rsidRPr="00163A6F" w:rsidRDefault="0253E582" w:rsidP="00163A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163A6F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Total professional fees inclusive of WHT</w:t>
            </w:r>
            <w:r w:rsidR="006749A0" w:rsidRPr="32C2D1B3">
              <w:rPr>
                <w:rStyle w:val="FootnoteReference"/>
                <w:rFonts w:ascii="Poppins" w:eastAsia="Times New Roman" w:hAnsi="Poppins" w:cs="Poppins"/>
                <w:color w:val="000000" w:themeColor="text1"/>
                <w:sz w:val="28"/>
                <w:szCs w:val="28"/>
              </w:rPr>
              <w:footnoteReference w:id="1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F2E2" w14:textId="77777777" w:rsidR="006749A0" w:rsidRPr="006749A0" w:rsidRDefault="006749A0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6749A0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F6055" w:rsidRPr="006749A0" w14:paraId="3512F466" w14:textId="77777777" w:rsidTr="32C2D1B3">
        <w:trPr>
          <w:trHeight w:val="917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156C" w14:textId="1765A5E4" w:rsidR="008F6055" w:rsidRPr="00163A6F" w:rsidRDefault="008F6055" w:rsidP="00163A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163A6F">
              <w:rPr>
                <w:rFonts w:ascii="Poppins" w:eastAsia="Times New Roman" w:hAnsi="Poppins" w:cs="Poppins"/>
                <w:color w:val="000000" w:themeColor="text1"/>
                <w:sz w:val="28"/>
                <w:szCs w:val="28"/>
              </w:rPr>
              <w:t>VAT (as applicable)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7B3F" w14:textId="77777777" w:rsidR="008F6055" w:rsidRPr="006749A0" w:rsidRDefault="008F6055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749A0" w:rsidRPr="006749A0" w14:paraId="79B0949F" w14:textId="77777777" w:rsidTr="32C2D1B3">
        <w:trPr>
          <w:trHeight w:val="917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C43A" w14:textId="16E349F8" w:rsidR="006749A0" w:rsidRPr="00163A6F" w:rsidRDefault="008F6055" w:rsidP="00163A6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163A6F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Total Reimbursement Costs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A1C3" w14:textId="77777777" w:rsidR="006749A0" w:rsidRPr="006749A0" w:rsidRDefault="006749A0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6749A0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6749A0" w:rsidRPr="006749A0" w14:paraId="033FF126" w14:textId="77777777" w:rsidTr="00163A6F">
        <w:trPr>
          <w:trHeight w:val="600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vAlign w:val="bottom"/>
            <w:hideMark/>
          </w:tcPr>
          <w:p w14:paraId="06428F6D" w14:textId="5662EAAA" w:rsidR="006749A0" w:rsidRPr="006749A0" w:rsidRDefault="0253E582" w:rsidP="32C2D1B3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32C2D1B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Grand Total inclusive of</w:t>
            </w:r>
            <w:r w:rsidR="720E2F2A" w:rsidRPr="32C2D1B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all taxes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vAlign w:val="bottom"/>
            <w:hideMark/>
          </w:tcPr>
          <w:p w14:paraId="4284FF38" w14:textId="77777777" w:rsidR="006749A0" w:rsidRPr="006749A0" w:rsidRDefault="0253E582" w:rsidP="32C2D1B3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32C2D1B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1010855E" w14:textId="77777777" w:rsidR="00AC7437" w:rsidRDefault="00AC7437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2D50CCC8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42036589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0EFA68B4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2BCB6B7B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45233C97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47DF750C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4CA85AAD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5B1F1FA6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3BD71686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076A5FF2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7B5CA9D3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763CF037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7AD44095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0FC85F78" w14:textId="77777777" w:rsidR="00C67C61" w:rsidRDefault="00C67C61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63D5167A" w14:textId="01082AD2" w:rsidR="006749A0" w:rsidRDefault="00AC1667" w:rsidP="00163A6F">
      <w:pPr>
        <w:pStyle w:val="ListParagraph"/>
        <w:numPr>
          <w:ilvl w:val="0"/>
          <w:numId w:val="12"/>
        </w:numPr>
        <w:jc w:val="both"/>
        <w:rPr>
          <w:rFonts w:ascii="Poppins" w:hAnsi="Poppins" w:cs="Poppins"/>
          <w:b/>
          <w:bCs/>
          <w:sz w:val="28"/>
          <w:szCs w:val="28"/>
        </w:rPr>
      </w:pPr>
      <w:bookmarkStart w:id="0" w:name="_Hlk179027346"/>
      <w:r w:rsidRPr="00AC1667">
        <w:rPr>
          <w:rFonts w:ascii="Poppins" w:hAnsi="Poppins" w:cs="Poppins"/>
          <w:b/>
          <w:bCs/>
          <w:sz w:val="28"/>
          <w:szCs w:val="28"/>
        </w:rPr>
        <w:lastRenderedPageBreak/>
        <w:t>BREAKDOWN OF PROFESSIONAL FEES</w:t>
      </w:r>
      <w:r w:rsidR="003B0A15">
        <w:rPr>
          <w:rFonts w:ascii="Poppins" w:hAnsi="Poppins" w:cs="Poppins"/>
          <w:b/>
          <w:bCs/>
          <w:sz w:val="28"/>
          <w:szCs w:val="28"/>
        </w:rPr>
        <w:t xml:space="preserve"> INCLUSIVE OF WHT</w:t>
      </w:r>
      <w:bookmarkEnd w:id="0"/>
    </w:p>
    <w:tbl>
      <w:tblPr>
        <w:tblW w:w="1096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050"/>
        <w:gridCol w:w="1260"/>
        <w:gridCol w:w="2688"/>
        <w:gridCol w:w="2967"/>
      </w:tblGrid>
      <w:tr w:rsidR="00D60A4E" w:rsidRPr="00E87F9A" w14:paraId="5C615EDB" w14:textId="77777777" w:rsidTr="004C040A">
        <w:trPr>
          <w:trHeight w:val="734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5AB9ACFD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Name of the consultant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2D38CD6B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Day(s)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772D4C92" w14:textId="0E2799FC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footnoteReference w:customMarkFollows="1" w:id="2"/>
              <w:t>Unit Cost</w:t>
            </w:r>
            <w:r>
              <w:rPr>
                <w:rStyle w:val="FootnoteReference"/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footnoteReference w:id="3"/>
            </w: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="004C040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USD)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1FDF80EA" w14:textId="095782B3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 Cost (</w:t>
            </w:r>
            <w:r w:rsidR="004C040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USD</w:t>
            </w: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D60A4E" w:rsidRPr="00E87F9A" w14:paraId="59EE8E98" w14:textId="77777777" w:rsidTr="004C040A">
        <w:trPr>
          <w:trHeight w:val="5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ED33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1. Consultant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B965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3DD2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6AF1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60A4E" w:rsidRPr="00E87F9A" w14:paraId="75E8F89C" w14:textId="77777777" w:rsidTr="004C040A">
        <w:trPr>
          <w:trHeight w:val="5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3E67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2. Consultant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63F0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AD8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9CFA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60A4E" w:rsidRPr="00E87F9A" w14:paraId="52D65057" w14:textId="77777777" w:rsidTr="004C040A">
        <w:trPr>
          <w:trHeight w:val="5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780E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etc…...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47F4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25E4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9C40" w14:textId="77777777" w:rsidR="00D60A4E" w:rsidRPr="00E87F9A" w:rsidRDefault="00D60A4E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E87F9A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67C61" w:rsidRPr="00E87F9A" w14:paraId="24D4A4E0" w14:textId="77777777" w:rsidTr="004C040A">
        <w:trPr>
          <w:trHeight w:val="5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9EA1" w14:textId="77777777" w:rsidR="00C67C61" w:rsidRPr="00E87F9A" w:rsidRDefault="00C67C61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4B80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2C24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353A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C67C61" w:rsidRPr="00E87F9A" w14:paraId="1B8819C2" w14:textId="77777777" w:rsidTr="004C040A">
        <w:trPr>
          <w:trHeight w:val="5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AD75" w14:textId="77777777" w:rsidR="00C67C61" w:rsidRPr="00E87F9A" w:rsidRDefault="00C67C61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3187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E196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ED4B" w14:textId="77777777" w:rsidR="00C67C61" w:rsidRPr="00E87F9A" w:rsidRDefault="00C67C61" w:rsidP="00E87F9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D60A4E" w:rsidRPr="00E87F9A" w14:paraId="0D9A38A2" w14:textId="77777777" w:rsidTr="004C040A">
        <w:trPr>
          <w:trHeight w:val="1040"/>
        </w:trPr>
        <w:tc>
          <w:tcPr>
            <w:tcW w:w="5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164E465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Total Professional fees inclusive of withholding taxes (WHT) </w:t>
            </w:r>
          </w:p>
          <w:p w14:paraId="073779A3" w14:textId="3E92D0E6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6422712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2E1DAF8" w14:textId="77777777" w:rsidR="00D60A4E" w:rsidRPr="00E87F9A" w:rsidRDefault="00D60A4E" w:rsidP="00E87F9A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7F9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6562A52F" w14:textId="77777777" w:rsidR="009B3C58" w:rsidRDefault="009B3C58" w:rsidP="007975BE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5951F77F" w14:textId="4BCA51CC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5B45766D" w14:textId="082E5C09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67FB43BF" w14:textId="3BD51D01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7A5C9652" w14:textId="6B94F3CF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4D7A7B03" w14:textId="40E7E8EF" w:rsidR="67C8F815" w:rsidRDefault="67C8F815" w:rsidP="67C8F815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22724477" w14:textId="165E65FF" w:rsidR="67C8F815" w:rsidRDefault="67C8F815" w:rsidP="67C8F815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0EE28A77" w14:textId="154798C7" w:rsidR="67C8F815" w:rsidRDefault="67C8F815" w:rsidP="67C8F815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1C1664D3" w14:textId="69AF2E42" w:rsidR="67C8F815" w:rsidRDefault="67C8F815" w:rsidP="67C8F815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02565D18" w14:textId="14B26F2E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466C5F63" w14:textId="3F587F93" w:rsidR="7D8272F0" w:rsidRDefault="7D8272F0" w:rsidP="7D8272F0">
      <w:pPr>
        <w:pStyle w:val="ListParagraph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06F291E3" w14:textId="0887904E" w:rsidR="000F7EA9" w:rsidRPr="00D60A4E" w:rsidRDefault="000F7EA9" w:rsidP="00D60A4E">
      <w:pPr>
        <w:pStyle w:val="ListParagraph"/>
        <w:numPr>
          <w:ilvl w:val="0"/>
          <w:numId w:val="12"/>
        </w:numPr>
        <w:jc w:val="both"/>
        <w:rPr>
          <w:rFonts w:ascii="Poppins" w:hAnsi="Poppins" w:cs="Poppins"/>
          <w:i/>
          <w:iCs/>
          <w:sz w:val="28"/>
          <w:szCs w:val="28"/>
        </w:rPr>
      </w:pPr>
      <w:r w:rsidRPr="00D60A4E">
        <w:rPr>
          <w:rFonts w:ascii="Poppins" w:hAnsi="Poppins" w:cs="Poppins"/>
          <w:b/>
          <w:bCs/>
          <w:sz w:val="28"/>
          <w:szCs w:val="28"/>
        </w:rPr>
        <w:lastRenderedPageBreak/>
        <w:t>BREAKDOWN OF REIMBURSEMENT COSTS</w:t>
      </w:r>
      <w:r w:rsidR="008956F3">
        <w:rPr>
          <w:rStyle w:val="FootnoteReference"/>
          <w:rFonts w:ascii="Poppins" w:hAnsi="Poppins" w:cs="Poppins"/>
          <w:b/>
          <w:bCs/>
          <w:sz w:val="28"/>
          <w:szCs w:val="28"/>
        </w:rPr>
        <w:footnoteReference w:id="4"/>
      </w:r>
    </w:p>
    <w:tbl>
      <w:tblPr>
        <w:tblW w:w="10952" w:type="dxa"/>
        <w:tblInd w:w="-612" w:type="dxa"/>
        <w:tblLook w:val="04A0" w:firstRow="1" w:lastRow="0" w:firstColumn="1" w:lastColumn="0" w:noHBand="0" w:noVBand="1"/>
      </w:tblPr>
      <w:tblGrid>
        <w:gridCol w:w="4472"/>
        <w:gridCol w:w="1350"/>
        <w:gridCol w:w="2430"/>
        <w:gridCol w:w="2700"/>
      </w:tblGrid>
      <w:tr w:rsidR="009B3C58" w:rsidRPr="008956F3" w14:paraId="70568143" w14:textId="77777777" w:rsidTr="007975BE">
        <w:trPr>
          <w:trHeight w:val="860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500C1461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Reimbursable costs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7A76B38C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QTY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D2FF71" w14:textId="3CA67343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Unit cost (</w:t>
            </w:r>
            <w:r w:rsidR="004C040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USD</w:t>
            </w: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D973"/>
            <w:vAlign w:val="center"/>
            <w:hideMark/>
          </w:tcPr>
          <w:p w14:paraId="579E5602" w14:textId="120C82E1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 cost (</w:t>
            </w:r>
            <w:r w:rsidR="004C040A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USD</w:t>
            </w: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8956F3" w:rsidRPr="008956F3" w14:paraId="4F09F49D" w14:textId="77777777" w:rsidTr="007975BE">
        <w:trPr>
          <w:trHeight w:val="43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CED1" w14:textId="77777777" w:rsidR="008956F3" w:rsidRPr="004B036C" w:rsidRDefault="008956F3" w:rsidP="004B03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4B036C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Accommodation and Meals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FBEC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57F7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B604A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956F3" w:rsidRPr="008956F3" w14:paraId="0CCF3C9D" w14:textId="77777777" w:rsidTr="007975BE">
        <w:trPr>
          <w:trHeight w:val="43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FCEE" w14:textId="77777777" w:rsidR="008956F3" w:rsidRPr="004B036C" w:rsidRDefault="008956F3" w:rsidP="004B03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4B036C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International flights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24C1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E856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51E7B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956F3" w:rsidRPr="008956F3" w14:paraId="2F81918C" w14:textId="77777777" w:rsidTr="007975BE">
        <w:trPr>
          <w:trHeight w:val="43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040B" w14:textId="77777777" w:rsidR="008956F3" w:rsidRPr="004B036C" w:rsidRDefault="008956F3" w:rsidP="004B03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4B036C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Local flights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C588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BA55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F5D77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956F3" w:rsidRPr="008956F3" w14:paraId="4913093A" w14:textId="77777777" w:rsidTr="007975BE">
        <w:trPr>
          <w:trHeight w:val="43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7051" w14:textId="77777777" w:rsidR="008956F3" w:rsidRPr="004B036C" w:rsidRDefault="008956F3" w:rsidP="004B03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4B036C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Transport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9FB5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92C9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0ED0F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8956F3" w:rsidRPr="008956F3" w14:paraId="08BB0CAD" w14:textId="77777777" w:rsidTr="007975BE">
        <w:trPr>
          <w:trHeight w:val="43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D96C" w14:textId="77777777" w:rsidR="008956F3" w:rsidRPr="004B036C" w:rsidRDefault="008956F3" w:rsidP="004B03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4B036C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Communication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FEE4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5802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1FCC6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B3C58" w:rsidRPr="008956F3" w14:paraId="69C8325D" w14:textId="77777777" w:rsidTr="007975BE">
        <w:trPr>
          <w:trHeight w:val="440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1D91A54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Total reimbursable costs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20D3BA0C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DADAD"/>
            <w:noWrap/>
            <w:vAlign w:val="bottom"/>
            <w:hideMark/>
          </w:tcPr>
          <w:p w14:paraId="7595144E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noWrap/>
            <w:vAlign w:val="bottom"/>
            <w:hideMark/>
          </w:tcPr>
          <w:p w14:paraId="7338EC25" w14:textId="77777777" w:rsidR="008956F3" w:rsidRPr="008956F3" w:rsidRDefault="008956F3" w:rsidP="007975BE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6F3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72FCF860" w14:textId="77777777" w:rsidR="00530543" w:rsidRPr="009B3C58" w:rsidRDefault="00530543" w:rsidP="007975BE">
      <w:pPr>
        <w:jc w:val="both"/>
        <w:rPr>
          <w:rFonts w:ascii="Poppins" w:hAnsi="Poppins" w:cs="Poppins"/>
          <w:i/>
          <w:iCs/>
          <w:sz w:val="28"/>
          <w:szCs w:val="28"/>
        </w:rPr>
      </w:pPr>
    </w:p>
    <w:p w14:paraId="15EA7CC8" w14:textId="77777777" w:rsidR="00530543" w:rsidRPr="006749A0" w:rsidRDefault="00530543" w:rsidP="007975BE">
      <w:pPr>
        <w:pStyle w:val="ListParagraph"/>
        <w:jc w:val="both"/>
        <w:rPr>
          <w:rFonts w:ascii="Poppins" w:hAnsi="Poppins" w:cs="Poppins"/>
          <w:i/>
          <w:iCs/>
          <w:sz w:val="28"/>
          <w:szCs w:val="28"/>
        </w:rPr>
      </w:pPr>
    </w:p>
    <w:sectPr w:rsidR="00530543" w:rsidRPr="006749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1420" w14:textId="77777777" w:rsidR="00044DB1" w:rsidRDefault="00044DB1" w:rsidP="002A37D8">
      <w:pPr>
        <w:spacing w:after="0" w:line="240" w:lineRule="auto"/>
      </w:pPr>
      <w:r>
        <w:separator/>
      </w:r>
    </w:p>
  </w:endnote>
  <w:endnote w:type="continuationSeparator" w:id="0">
    <w:p w14:paraId="314C6F40" w14:textId="77777777" w:rsidR="00044DB1" w:rsidRDefault="00044DB1" w:rsidP="002A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959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6A0644" w14:textId="20A619E1" w:rsidR="002A37D8" w:rsidRDefault="002A37D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D385B7" w14:textId="77777777" w:rsidR="002A37D8" w:rsidRDefault="002A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8392" w14:textId="77777777" w:rsidR="00044DB1" w:rsidRDefault="00044DB1" w:rsidP="002A37D8">
      <w:pPr>
        <w:spacing w:after="0" w:line="240" w:lineRule="auto"/>
      </w:pPr>
      <w:r>
        <w:separator/>
      </w:r>
    </w:p>
  </w:footnote>
  <w:footnote w:type="continuationSeparator" w:id="0">
    <w:p w14:paraId="6869BD73" w14:textId="77777777" w:rsidR="00044DB1" w:rsidRDefault="00044DB1" w:rsidP="002A37D8">
      <w:pPr>
        <w:spacing w:after="0" w:line="240" w:lineRule="auto"/>
      </w:pPr>
      <w:r>
        <w:continuationSeparator/>
      </w:r>
    </w:p>
  </w:footnote>
  <w:footnote w:id="1">
    <w:p w14:paraId="07A1714C" w14:textId="12E951AD" w:rsidR="32C2D1B3" w:rsidRDefault="32C2D1B3" w:rsidP="32C2D1B3">
      <w:pPr>
        <w:pStyle w:val="FootnoteText"/>
      </w:pPr>
      <w:r w:rsidRPr="32C2D1B3">
        <w:rPr>
          <w:rStyle w:val="FootnoteReference"/>
        </w:rPr>
        <w:footnoteRef/>
      </w:r>
      <w:r>
        <w:t xml:space="preserve"> WHT stands for withholding taxes</w:t>
      </w:r>
    </w:p>
  </w:footnote>
  <w:footnote w:id="2">
    <w:p w14:paraId="707B5ED6" w14:textId="77777777" w:rsidR="00D60A4E" w:rsidRDefault="00D60A4E" w:rsidP="00E87F9A"/>
  </w:footnote>
  <w:footnote w:id="3">
    <w:p w14:paraId="28BBE48B" w14:textId="6B4B3D13" w:rsidR="00D60A4E" w:rsidRDefault="00D60A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80B76">
        <w:t xml:space="preserve">The daily rate provided should be inclusive of </w:t>
      </w:r>
      <w:r>
        <w:t>withholding taxes (WHT)</w:t>
      </w:r>
      <w:r w:rsidRPr="00C80B76">
        <w:t>.</w:t>
      </w:r>
      <w:r>
        <w:t xml:space="preserve"> </w:t>
      </w:r>
      <w:r w:rsidRPr="00C80B76">
        <w:t>WHT shall not be quoted as a separate component.</w:t>
      </w:r>
    </w:p>
  </w:footnote>
  <w:footnote w:id="4">
    <w:p w14:paraId="68C26082" w14:textId="35290B4F" w:rsidR="008956F3" w:rsidRDefault="008956F3">
      <w:pPr>
        <w:pStyle w:val="FootnoteText"/>
      </w:pPr>
      <w:r>
        <w:rPr>
          <w:rStyle w:val="FootnoteReference"/>
        </w:rPr>
        <w:footnoteRef/>
      </w:r>
      <w:r>
        <w:t xml:space="preserve"> Please note that the listed reimbursable </w:t>
      </w:r>
      <w:r w:rsidR="009B3C58">
        <w:t xml:space="preserve">costs are for guidance purposes. Kindly list only the </w:t>
      </w:r>
      <w:r w:rsidR="003A0098">
        <w:t xml:space="preserve">applicable </w:t>
      </w:r>
      <w:r w:rsidR="009B3C58">
        <w:t xml:space="preserve">reimbursable costs </w:t>
      </w:r>
      <w:r w:rsidR="003A0098">
        <w:t>for this</w:t>
      </w:r>
      <w:r w:rsidR="009B3C58">
        <w:t xml:space="preserve"> assignment.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6F2"/>
    <w:multiLevelType w:val="hybridMultilevel"/>
    <w:tmpl w:val="87F40F3A"/>
    <w:lvl w:ilvl="0" w:tplc="08D888B0">
      <w:start w:val="1"/>
      <w:numFmt w:val="lowerRoman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AF5B00"/>
    <w:multiLevelType w:val="hybridMultilevel"/>
    <w:tmpl w:val="5C8A8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51B"/>
    <w:multiLevelType w:val="hybridMultilevel"/>
    <w:tmpl w:val="BE86D228"/>
    <w:lvl w:ilvl="0" w:tplc="E5DA9D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6E66"/>
    <w:multiLevelType w:val="hybridMultilevel"/>
    <w:tmpl w:val="32B47B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70B"/>
    <w:multiLevelType w:val="hybridMultilevel"/>
    <w:tmpl w:val="B8F08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4824"/>
    <w:multiLevelType w:val="hybridMultilevel"/>
    <w:tmpl w:val="886898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170A4"/>
    <w:multiLevelType w:val="hybridMultilevel"/>
    <w:tmpl w:val="0AF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6D81"/>
    <w:multiLevelType w:val="hybridMultilevel"/>
    <w:tmpl w:val="89CA9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17CA8"/>
    <w:multiLevelType w:val="hybridMultilevel"/>
    <w:tmpl w:val="39F6ED8A"/>
    <w:lvl w:ilvl="0" w:tplc="7C9AAE4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1A6D"/>
    <w:multiLevelType w:val="hybridMultilevel"/>
    <w:tmpl w:val="FFFAD1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43315"/>
    <w:multiLevelType w:val="multilevel"/>
    <w:tmpl w:val="E17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79396">
    <w:abstractNumId w:val="1"/>
  </w:num>
  <w:num w:numId="2" w16cid:durableId="306905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053296">
    <w:abstractNumId w:val="0"/>
  </w:num>
  <w:num w:numId="4" w16cid:durableId="2003124881">
    <w:abstractNumId w:val="9"/>
  </w:num>
  <w:num w:numId="5" w16cid:durableId="1053041126">
    <w:abstractNumId w:val="3"/>
  </w:num>
  <w:num w:numId="6" w16cid:durableId="1817455277">
    <w:abstractNumId w:val="10"/>
  </w:num>
  <w:num w:numId="7" w16cid:durableId="1261792809">
    <w:abstractNumId w:val="6"/>
  </w:num>
  <w:num w:numId="8" w16cid:durableId="740061350">
    <w:abstractNumId w:val="5"/>
  </w:num>
  <w:num w:numId="9" w16cid:durableId="1755124935">
    <w:abstractNumId w:val="8"/>
  </w:num>
  <w:num w:numId="10" w16cid:durableId="2062245176">
    <w:abstractNumId w:val="7"/>
  </w:num>
  <w:num w:numId="11" w16cid:durableId="1916624283">
    <w:abstractNumId w:val="4"/>
  </w:num>
  <w:num w:numId="12" w16cid:durableId="48536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2"/>
    <w:rsid w:val="000145E1"/>
    <w:rsid w:val="00014B9B"/>
    <w:rsid w:val="00044DB1"/>
    <w:rsid w:val="00077C92"/>
    <w:rsid w:val="00082FB7"/>
    <w:rsid w:val="00092F43"/>
    <w:rsid w:val="000F7EA9"/>
    <w:rsid w:val="00163A6F"/>
    <w:rsid w:val="001C77A1"/>
    <w:rsid w:val="001F2ADE"/>
    <w:rsid w:val="0027021D"/>
    <w:rsid w:val="00272032"/>
    <w:rsid w:val="002A21E2"/>
    <w:rsid w:val="002A37D8"/>
    <w:rsid w:val="00300685"/>
    <w:rsid w:val="003022B6"/>
    <w:rsid w:val="003A0098"/>
    <w:rsid w:val="003B0A15"/>
    <w:rsid w:val="004B036C"/>
    <w:rsid w:val="004B2B4B"/>
    <w:rsid w:val="004C040A"/>
    <w:rsid w:val="00501312"/>
    <w:rsid w:val="00530543"/>
    <w:rsid w:val="005D704C"/>
    <w:rsid w:val="00645349"/>
    <w:rsid w:val="006749A0"/>
    <w:rsid w:val="006A62A3"/>
    <w:rsid w:val="007975BE"/>
    <w:rsid w:val="007B5BF8"/>
    <w:rsid w:val="00802DFB"/>
    <w:rsid w:val="0080B5B3"/>
    <w:rsid w:val="0081015C"/>
    <w:rsid w:val="008956F3"/>
    <w:rsid w:val="008F6055"/>
    <w:rsid w:val="00912DD7"/>
    <w:rsid w:val="00921CBF"/>
    <w:rsid w:val="00922F7E"/>
    <w:rsid w:val="00937F18"/>
    <w:rsid w:val="0096357E"/>
    <w:rsid w:val="00973588"/>
    <w:rsid w:val="009B3C58"/>
    <w:rsid w:val="009C6B0C"/>
    <w:rsid w:val="009D3C45"/>
    <w:rsid w:val="009E6EC8"/>
    <w:rsid w:val="00A72EBD"/>
    <w:rsid w:val="00AA627A"/>
    <w:rsid w:val="00AB634E"/>
    <w:rsid w:val="00AC1667"/>
    <w:rsid w:val="00AC1BC6"/>
    <w:rsid w:val="00AC7437"/>
    <w:rsid w:val="00B11788"/>
    <w:rsid w:val="00BB1B96"/>
    <w:rsid w:val="00C67C61"/>
    <w:rsid w:val="00C80B76"/>
    <w:rsid w:val="00CC442D"/>
    <w:rsid w:val="00D36AF8"/>
    <w:rsid w:val="00D60A4E"/>
    <w:rsid w:val="00D8532B"/>
    <w:rsid w:val="00E87F9A"/>
    <w:rsid w:val="00F25841"/>
    <w:rsid w:val="0253E582"/>
    <w:rsid w:val="04208408"/>
    <w:rsid w:val="06E9D4C1"/>
    <w:rsid w:val="18CC43FF"/>
    <w:rsid w:val="202776A7"/>
    <w:rsid w:val="26CFCBDB"/>
    <w:rsid w:val="281BDCB3"/>
    <w:rsid w:val="2A76BC98"/>
    <w:rsid w:val="32C2D1B3"/>
    <w:rsid w:val="33DFC69D"/>
    <w:rsid w:val="361AD67C"/>
    <w:rsid w:val="3B620B7E"/>
    <w:rsid w:val="41354BA6"/>
    <w:rsid w:val="43972623"/>
    <w:rsid w:val="4CB63E7A"/>
    <w:rsid w:val="4E19A160"/>
    <w:rsid w:val="506FAA68"/>
    <w:rsid w:val="507E4807"/>
    <w:rsid w:val="57B896D1"/>
    <w:rsid w:val="58C40820"/>
    <w:rsid w:val="5AFE6189"/>
    <w:rsid w:val="615CA137"/>
    <w:rsid w:val="66D0C5F8"/>
    <w:rsid w:val="67C8F815"/>
    <w:rsid w:val="6A47559B"/>
    <w:rsid w:val="6A8187C1"/>
    <w:rsid w:val="7191676C"/>
    <w:rsid w:val="720E2F2A"/>
    <w:rsid w:val="7D8272F0"/>
    <w:rsid w:val="7E87A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3107"/>
  <w15:chartTrackingRefBased/>
  <w15:docId w15:val="{970ACB34-935E-4154-AC7B-0411C81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312"/>
    <w:rPr>
      <w:i/>
      <w:iCs/>
      <w:color w:val="404040" w:themeColor="text1" w:themeTint="BF"/>
    </w:rPr>
  </w:style>
  <w:style w:type="paragraph" w:styleId="ListParagraph">
    <w:name w:val="List Paragraph"/>
    <w:aliases w:val="Liste à Puces FCCA,caption,Bullet List,FooterText,List Paragraph1,List Paragraph level 1,Table/Figure Heading,Listeafsnit,Paragraphe de liste1,Bullets,List Bullet-OpsManual,Paragraphe de liste11,List Paragraph (numbered (a)),References,Ha"/>
    <w:basedOn w:val="Normal"/>
    <w:link w:val="ListParagraphChar"/>
    <w:uiPriority w:val="34"/>
    <w:qFormat/>
    <w:rsid w:val="00501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3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5349"/>
    <w:pPr>
      <w:spacing w:after="0" w:line="240" w:lineRule="auto"/>
    </w:pPr>
    <w:rPr>
      <w:b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39"/>
    <w:rsid w:val="00922F7E"/>
    <w:pPr>
      <w:spacing w:after="0" w:line="240" w:lineRule="auto"/>
    </w:pPr>
    <w:rPr>
      <w:rFonts w:asciiTheme="majorHAnsi" w:hAnsiTheme="majorHAnsi" w:cstheme="majorHAnsi"/>
      <w:color w:val="00000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à Puces FCCA Char,caption Char,Bullet List Char,FooterText Char,List Paragraph1 Char,List Paragraph level 1 Char,Table/Figure Heading Char,Listeafsnit Char,Paragraphe de liste1 Char,Bullets Char,List Bullet-OpsManual Char"/>
    <w:basedOn w:val="DefaultParagraphFont"/>
    <w:link w:val="ListParagraph"/>
    <w:uiPriority w:val="34"/>
    <w:qFormat/>
    <w:locked/>
    <w:rsid w:val="00922F7E"/>
  </w:style>
  <w:style w:type="paragraph" w:styleId="Header">
    <w:name w:val="header"/>
    <w:basedOn w:val="Normal"/>
    <w:link w:val="HeaderChar"/>
    <w:uiPriority w:val="99"/>
    <w:unhideWhenUsed/>
    <w:rsid w:val="002A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D8"/>
  </w:style>
  <w:style w:type="paragraph" w:styleId="Footer">
    <w:name w:val="footer"/>
    <w:basedOn w:val="Normal"/>
    <w:link w:val="FooterChar"/>
    <w:uiPriority w:val="99"/>
    <w:unhideWhenUsed/>
    <w:rsid w:val="002A3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D8"/>
  </w:style>
  <w:style w:type="paragraph" w:styleId="FootnoteText">
    <w:name w:val="footnote text"/>
    <w:basedOn w:val="Normal"/>
    <w:link w:val="FootnoteTextChar"/>
    <w:uiPriority w:val="99"/>
    <w:semiHidden/>
    <w:unhideWhenUsed/>
    <w:rsid w:val="009D3C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C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A8A387C87BF4CB79B83F08C7F3417" ma:contentTypeVersion="18" ma:contentTypeDescription="Create a new document." ma:contentTypeScope="" ma:versionID="f272d55bc662199ecfb5f75fe8faa03e">
  <xsd:schema xmlns:xsd="http://www.w3.org/2001/XMLSchema" xmlns:xs="http://www.w3.org/2001/XMLSchema" xmlns:p="http://schemas.microsoft.com/office/2006/metadata/properties" xmlns:ns2="928dd682-dff1-4a89-8d16-12c794ee907a" xmlns:ns3="3beda86c-4e5a-48a1-a941-7923a123f7a5" targetNamespace="http://schemas.microsoft.com/office/2006/metadata/properties" ma:root="true" ma:fieldsID="ae5fd985a07aa4c3c092b951163ded36" ns2:_="" ns3:_="">
    <xsd:import namespace="928dd682-dff1-4a89-8d16-12c794ee907a"/>
    <xsd:import namespace="3beda86c-4e5a-48a1-a941-7923a123f7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d682-dff1-4a89-8d16-12c794ee9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f9074b-c3ed-47ca-8881-fe932388d8f8}" ma:internalName="TaxCatchAll" ma:showField="CatchAllData" ma:web="928dd682-dff1-4a89-8d16-12c794ee9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da86c-4e5a-48a1-a941-7923a123f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fa14a-a06b-49aa-bc17-b64a36fe1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dd682-dff1-4a89-8d16-12c794ee907a" xsi:nil="true"/>
    <lcf76f155ced4ddcb4097134ff3c332f xmlns="3beda86c-4e5a-48a1-a941-7923a123f7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07211-C30C-48F5-974B-48C3C679C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63E52-BCB8-490B-8A4E-61B3F98D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dd682-dff1-4a89-8d16-12c794ee907a"/>
    <ds:schemaRef ds:uri="3beda86c-4e5a-48a1-a941-7923a123f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45755-DD86-4661-A526-1D2B2A3BCAC4}">
  <ds:schemaRefs>
    <ds:schemaRef ds:uri="http://schemas.microsoft.com/office/2006/metadata/properties"/>
    <ds:schemaRef ds:uri="http://schemas.microsoft.com/office/infopath/2007/PartnerControls"/>
    <ds:schemaRef ds:uri="928dd682-dff1-4a89-8d16-12c794ee907a"/>
    <ds:schemaRef ds:uri="3beda86c-4e5a-48a1-a941-7923a123f7a5"/>
  </ds:schemaRefs>
</ds:datastoreItem>
</file>

<file path=customXml/itemProps4.xml><?xml version="1.0" encoding="utf-8"?>
<ds:datastoreItem xmlns:ds="http://schemas.openxmlformats.org/officeDocument/2006/customXml" ds:itemID="{85641DFD-056E-40CF-86E5-633FCD100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Ngomo, Caroline</dc:creator>
  <cp:keywords/>
  <dc:description/>
  <cp:lastModifiedBy>Ngomo, Caroline</cp:lastModifiedBy>
  <cp:revision>5</cp:revision>
  <dcterms:created xsi:type="dcterms:W3CDTF">2024-11-27T12:43:00Z</dcterms:created>
  <dcterms:modified xsi:type="dcterms:W3CDTF">2026-06-04T17:59:00Z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0x0101001D3A8A387C87BF4CB79B83F08C7F3417</vt:lpwstr>
  </property>
  <property fmtid="{D5CDD505-2E9C-101B-9397-08002B2CF9AE}" pid="3" name="MediaServiceImageTags">
    <vt:lpwstr/>
  </property>
</Properties>
</file>